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color w:val="000000"/>
          <w:sz w:val="28"/>
          <w:szCs w:val="28"/>
        </w:rPr>
      </w:pPr>
      <w:r w:rsidRPr="00E5275D">
        <w:rPr>
          <w:rFonts w:ascii="Times New Roman" w:hAnsi="Times New Roman"/>
          <w:b/>
          <w:color w:val="000000"/>
          <w:sz w:val="28"/>
          <w:szCs w:val="28"/>
        </w:rPr>
        <w:t xml:space="preserve">COLEMAN </w:t>
      </w:r>
      <w:r w:rsidRPr="000F37F0">
        <w:rPr>
          <w:rFonts w:ascii="Times New Roman" w:hAnsi="Times New Roman"/>
          <w:b/>
          <w:color w:val="000000"/>
          <w:sz w:val="28"/>
          <w:szCs w:val="28"/>
        </w:rPr>
        <w:t>—</w:t>
      </w:r>
      <w:r w:rsidRPr="00E5275D">
        <w:rPr>
          <w:rFonts w:ascii="Times New Roman" w:hAnsi="Times New Roman"/>
          <w:b/>
          <w:color w:val="000000"/>
          <w:sz w:val="28"/>
          <w:szCs w:val="28"/>
        </w:rPr>
        <w:t xml:space="preserve"> Mapping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&lt;0 figures&gt;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bCs/>
          <w:iCs/>
          <w:color w:val="000000"/>
          <w:sz w:val="24"/>
          <w:szCs w:val="24"/>
        </w:rPr>
        <w:t>From Mapping the Republic of Letters to Humanities +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</w:t>
      </w:r>
      <w:r w:rsidRPr="00E5275D">
        <w:rPr>
          <w:rFonts w:ascii="Times New Roman" w:hAnsi="Times New Roman"/>
          <w:b/>
          <w:bCs/>
          <w:iCs/>
          <w:color w:val="000000"/>
          <w:sz w:val="24"/>
          <w:szCs w:val="24"/>
        </w:rPr>
        <w:t>Design Research Lab: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</w:t>
      </w:r>
      <w:r w:rsidRPr="00E5275D">
        <w:rPr>
          <w:rFonts w:ascii="Times New Roman" w:hAnsi="Times New Roman"/>
          <w:b/>
          <w:bCs/>
          <w:iCs/>
          <w:color w:val="000000"/>
          <w:sz w:val="24"/>
          <w:szCs w:val="24"/>
        </w:rPr>
        <w:t>Creating Visualization Tools for Humanistic Inquiry</w:t>
      </w: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  <w:lang w:val="it-IT"/>
        </w:rPr>
      </w:pPr>
      <w:r w:rsidRPr="00E5275D">
        <w:rPr>
          <w:rFonts w:ascii="Times New Roman" w:hAnsi="Times New Roman"/>
          <w:color w:val="000000"/>
          <w:sz w:val="24"/>
          <w:szCs w:val="24"/>
          <w:lang w:val="it-IT"/>
        </w:rPr>
        <w:t xml:space="preserve">Coleman, N., Caviglia, </w:t>
      </w:r>
      <w:r w:rsidRPr="00336A25">
        <w:rPr>
          <w:rFonts w:ascii="Times New Roman" w:hAnsi="Times New Roman"/>
          <w:color w:val="000000"/>
          <w:sz w:val="24"/>
          <w:szCs w:val="24"/>
          <w:lang w:val="it-IT"/>
        </w:rPr>
        <w:t>G.</w:t>
      </w:r>
      <w:r w:rsidRPr="00E5275D">
        <w:rPr>
          <w:rFonts w:ascii="Times New Roman" w:hAnsi="Times New Roman"/>
          <w:color w:val="000000"/>
          <w:sz w:val="24"/>
          <w:szCs w:val="24"/>
          <w:lang w:val="it-IT"/>
        </w:rPr>
        <w:t xml:space="preserve">, Braude, M., Edelstein, D., and Ceserani, G. </w:t>
      </w: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  <w:lang w:val="it-IT"/>
        </w:rPr>
      </w:pP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>What does it mean to build visualization tools that support the research process in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humanities? In this paper we will trace the evolution of our thinking about data-driven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tools beginning with case studies in early modern intellectual history and eventually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including a wide range of projects from classics, social history, performance studies</w:t>
      </w:r>
      <w:r w:rsidR="00CB1756">
        <w:rPr>
          <w:rFonts w:ascii="Times New Roman" w:hAnsi="Times New Roman"/>
          <w:color w:val="000000"/>
          <w:sz w:val="24"/>
          <w:szCs w:val="24"/>
        </w:rPr>
        <w:t>,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other fields. We will give concrete examples of how individual tools were designed and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whether those tools ultimately failed or succeeded to provide scholars with a means to gain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insights into historical data. Through these examples, this paper argues for the role of an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open design process in the development of visualization tools for humanities research that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brings designers, developers, and scholars into deep collaboration to build nuanced and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rigorous tools for humanities research.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B1756" w:rsidRDefault="00CB175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Mapping the Republic of Letters</w:t>
      </w:r>
    </w:p>
    <w:p w:rsidR="00CB1756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>Mapping the Republic of Letters was formed on the assumption that intellectual history is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one of the fields that stands the most to gain from the influx of big data. By combining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metadata from library catalogues and large-scale digitization projects, the project seeks to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maximize the transformative effect of all this information. The cartographic, chronological,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and network visualizations ultimately produced allow researchers to examine some of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big questions that intellectual historians have long struggled with: How do intellectual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networks function? How interconnected are they? How independent are these networks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from other social networks?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>The 2009 Digging Into Data Challenge grant award launched an active tool development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phase in the Mapping the Republic of Letters (</w:t>
      </w:r>
      <w:proofErr w:type="spellStart"/>
      <w:r w:rsidRPr="008B69BD">
        <w:rPr>
          <w:rFonts w:ascii="Times New Roman" w:hAnsi="Times New Roman"/>
          <w:color w:val="000000"/>
          <w:sz w:val="24"/>
          <w:szCs w:val="24"/>
        </w:rPr>
        <w:t>MRofL</w:t>
      </w:r>
      <w:proofErr w:type="spellEnd"/>
      <w:r w:rsidRPr="008B69BD">
        <w:rPr>
          <w:rFonts w:ascii="Times New Roman" w:hAnsi="Times New Roman"/>
          <w:color w:val="000000"/>
          <w:sz w:val="24"/>
          <w:szCs w:val="24"/>
        </w:rPr>
        <w:t>) project at Stanford. In partnership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with </w:t>
      </w:r>
      <w:proofErr w:type="spellStart"/>
      <w:r w:rsidRPr="008B69BD">
        <w:rPr>
          <w:rFonts w:ascii="Times New Roman" w:hAnsi="Times New Roman"/>
          <w:color w:val="000000"/>
          <w:sz w:val="24"/>
          <w:szCs w:val="24"/>
        </w:rPr>
        <w:t>DensityDesign</w:t>
      </w:r>
      <w:proofErr w:type="spellEnd"/>
      <w:r w:rsidRPr="008B69BD">
        <w:rPr>
          <w:rFonts w:ascii="Times New Roman" w:hAnsi="Times New Roman"/>
          <w:color w:val="000000"/>
          <w:sz w:val="24"/>
          <w:szCs w:val="24"/>
        </w:rPr>
        <w:t xml:space="preserve"> Research Lab in Milan, the team began to engage in a tool design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process in response to concrete research questions. The data</w:t>
      </w:r>
      <w:r w:rsidR="00CB1756">
        <w:rPr>
          <w:rFonts w:ascii="Times New Roman" w:hAnsi="Times New Roman"/>
          <w:color w:val="000000"/>
          <w:sz w:val="24"/>
          <w:szCs w:val="24"/>
        </w:rPr>
        <w:t>—</w:t>
      </w:r>
      <w:r w:rsidRPr="008B69BD">
        <w:rPr>
          <w:rFonts w:ascii="Times New Roman" w:hAnsi="Times New Roman"/>
          <w:color w:val="000000"/>
          <w:sz w:val="24"/>
          <w:szCs w:val="24"/>
        </w:rPr>
        <w:t>based on individuals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 their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correspondence, travel</w:t>
      </w:r>
      <w:r w:rsidR="00CB1756">
        <w:rPr>
          <w:rFonts w:ascii="Times New Roman" w:hAnsi="Times New Roman"/>
          <w:color w:val="000000"/>
          <w:sz w:val="24"/>
          <w:szCs w:val="24"/>
        </w:rPr>
        <w:t>,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 and publications</w:t>
      </w:r>
      <w:r w:rsidR="00CB1756">
        <w:rPr>
          <w:rFonts w:ascii="Times New Roman" w:hAnsi="Times New Roman"/>
          <w:color w:val="000000"/>
          <w:sz w:val="24"/>
          <w:szCs w:val="24"/>
        </w:rPr>
        <w:t>—</w:t>
      </w:r>
      <w:r w:rsidRPr="008B69BD">
        <w:rPr>
          <w:rFonts w:ascii="Times New Roman" w:hAnsi="Times New Roman"/>
          <w:color w:val="000000"/>
          <w:sz w:val="24"/>
          <w:szCs w:val="24"/>
        </w:rPr>
        <w:t>were multidimensional and qualitatively rich. It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became clear that historians who wish to bring data visualization tools to bear on the study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of the past face a number of challenges. Many available tools had a steep learning curve and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were ultimately of limited help for humanists. These tools rest on assumptions about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completeness and empirical value of data that often do not hold true for humanities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research. Historical data can be incomplete and messy: statistical analysis can be a helpful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to a limited extent, but interpretation at the most fundamental level is required to uncover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meaning. Humanists also ask questions about the data that cannot be answered by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numerical analysis. We needed tools that help us filter, contextualize, compare, and see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gaps in our data.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B1756" w:rsidRDefault="00CB175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Humanities + Design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 w:rsidRPr="008B69BD">
        <w:rPr>
          <w:rFonts w:ascii="Times New Roman" w:hAnsi="Times New Roman"/>
          <w:color w:val="262626"/>
          <w:sz w:val="24"/>
          <w:szCs w:val="24"/>
        </w:rPr>
        <w:lastRenderedPageBreak/>
        <w:t xml:space="preserve">Humanities + Design, a research lab founded in 2012 by Dan Edelstein, Paula </w:t>
      </w:r>
      <w:proofErr w:type="spellStart"/>
      <w:r w:rsidRPr="008B69BD">
        <w:rPr>
          <w:rFonts w:ascii="Times New Roman" w:hAnsi="Times New Roman"/>
          <w:color w:val="262626"/>
          <w:sz w:val="24"/>
          <w:szCs w:val="24"/>
        </w:rPr>
        <w:t>Findlen</w:t>
      </w:r>
      <w:proofErr w:type="spellEnd"/>
      <w:r w:rsidRPr="008B69BD">
        <w:rPr>
          <w:rFonts w:ascii="Times New Roman" w:hAnsi="Times New Roman"/>
          <w:color w:val="262626"/>
          <w:sz w:val="24"/>
          <w:szCs w:val="24"/>
        </w:rPr>
        <w:t>, and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Nicole Coleman, emerged directly out of lessons learned and opportunities for humanities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data analysis discovered through </w:t>
      </w:r>
      <w:proofErr w:type="spellStart"/>
      <w:r w:rsidRPr="008B69BD">
        <w:rPr>
          <w:rFonts w:ascii="Times New Roman" w:hAnsi="Times New Roman"/>
          <w:color w:val="262626"/>
          <w:sz w:val="24"/>
          <w:szCs w:val="24"/>
        </w:rPr>
        <w:t>MRofL</w:t>
      </w:r>
      <w:proofErr w:type="spellEnd"/>
      <w:r w:rsidRPr="008B69BD">
        <w:rPr>
          <w:rFonts w:ascii="Times New Roman" w:hAnsi="Times New Roman"/>
          <w:color w:val="262626"/>
          <w:sz w:val="24"/>
          <w:szCs w:val="24"/>
        </w:rPr>
        <w:t>. The mission of the lab is to produce, through the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lens of humanistic inquiry, new modes of thinking in design and computer science to serve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data-driven research in the humanities. We believe that humanistic inquiry, grounded in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interpretation, has much to contribute to the development of technologies if they are to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help us reveal ambiguity and paradox, allowing human-scale exploration of complex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systems. In the laboratory environment, theoretical and methodological discussions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happen side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by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side with hands-on work with digital materials. Humanities scholars and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students, designers, engineers, and computer scientists engage together in ongoing tool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design as defined by the specific needs of participating humanities projects.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</w:p>
    <w:p w:rsidR="00CB1756" w:rsidRDefault="00CB175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Palladio Project</w:t>
      </w:r>
    </w:p>
    <w:p w:rsidR="00CB1756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>The award of the 2012 NEH Implementation Grant for Networks in History allowed the lab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to pursue the development of visualization techniques and rich interaction with data that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supports ‘thinking through data’ rather than using prescribed algorithms for data analysis.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Palladio is a web-based demonstration application that allows any researcher to upload,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visualize, and explore complex and multidimensional data, directly in a web browser. </w:t>
      </w:r>
      <w:r w:rsidRPr="008B69BD">
        <w:rPr>
          <w:rFonts w:ascii="Times New Roman" w:hAnsi="Times New Roman"/>
          <w:color w:val="262626"/>
          <w:sz w:val="24"/>
          <w:szCs w:val="24"/>
        </w:rPr>
        <w:t>It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has been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designed for humanistic inquiry, with a special focus on historical research. </w:t>
      </w:r>
      <w:r w:rsidRPr="008B69BD">
        <w:rPr>
          <w:rFonts w:ascii="Times New Roman" w:hAnsi="Times New Roman"/>
          <w:color w:val="333333"/>
          <w:sz w:val="24"/>
          <w:szCs w:val="24"/>
        </w:rPr>
        <w:t>The</w:t>
      </w:r>
      <w:r w:rsidR="00CB1756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333333"/>
          <w:sz w:val="24"/>
          <w:szCs w:val="24"/>
        </w:rPr>
        <w:t>Palladio visualization system combines a primary view (for example</w:t>
      </w:r>
      <w:r w:rsidR="00CB1756">
        <w:rPr>
          <w:rFonts w:ascii="Times New Roman" w:hAnsi="Times New Roman"/>
          <w:color w:val="333333"/>
          <w:sz w:val="24"/>
          <w:szCs w:val="24"/>
        </w:rPr>
        <w:t>,</w:t>
      </w:r>
      <w:r w:rsidRPr="008B69BD">
        <w:rPr>
          <w:rFonts w:ascii="Times New Roman" w:hAnsi="Times New Roman"/>
          <w:color w:val="333333"/>
          <w:sz w:val="24"/>
          <w:szCs w:val="24"/>
        </w:rPr>
        <w:t xml:space="preserve"> Map, Network Graph,</w:t>
      </w:r>
      <w:r w:rsidR="00CB1756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333333"/>
          <w:sz w:val="24"/>
          <w:szCs w:val="24"/>
        </w:rPr>
        <w:t xml:space="preserve">and Tabular views) with filters to make it easy to query a dataset. </w:t>
      </w:r>
      <w:r w:rsidRPr="008B69BD">
        <w:rPr>
          <w:rFonts w:ascii="Times New Roman" w:hAnsi="Times New Roman"/>
          <w:color w:val="262626"/>
          <w:sz w:val="24"/>
          <w:szCs w:val="24"/>
        </w:rPr>
        <w:t>There is no need to create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an account</w:t>
      </w:r>
      <w:r w:rsidR="00CB1756">
        <w:rPr>
          <w:rFonts w:ascii="Times New Roman" w:hAnsi="Times New Roman"/>
          <w:color w:val="262626"/>
          <w:sz w:val="24"/>
          <w:szCs w:val="24"/>
        </w:rPr>
        <w:t>,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 nor do we store any data</w:t>
      </w:r>
      <w:r w:rsidRPr="008B69BD">
        <w:rPr>
          <w:rFonts w:ascii="Times New Roman" w:hAnsi="Times New Roman"/>
          <w:b/>
          <w:bCs/>
          <w:color w:val="262626"/>
          <w:sz w:val="24"/>
          <w:szCs w:val="24"/>
        </w:rPr>
        <w:t xml:space="preserve">. </w:t>
      </w:r>
      <w:r w:rsidRPr="008B69BD">
        <w:rPr>
          <w:rFonts w:ascii="Times New Roman" w:hAnsi="Times New Roman"/>
          <w:color w:val="262626"/>
          <w:sz w:val="24"/>
          <w:szCs w:val="24"/>
        </w:rPr>
        <w:t>Researchers can save and shared the work they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have done in the browser as a Palladio Project. Palladio’s TimeLine and </w:t>
      </w:r>
      <w:proofErr w:type="spellStart"/>
      <w:r w:rsidRPr="008B69BD">
        <w:rPr>
          <w:rFonts w:ascii="Times New Roman" w:hAnsi="Times New Roman"/>
          <w:color w:val="262626"/>
          <w:sz w:val="24"/>
          <w:szCs w:val="24"/>
        </w:rPr>
        <w:t>TimeSpan</w:t>
      </w:r>
      <w:proofErr w:type="spellEnd"/>
      <w:r w:rsidRPr="008B69BD">
        <w:rPr>
          <w:rFonts w:ascii="Times New Roman" w:hAnsi="Times New Roman"/>
          <w:color w:val="262626"/>
          <w:sz w:val="24"/>
          <w:szCs w:val="24"/>
        </w:rPr>
        <w:t xml:space="preserve"> filters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encourage filtering and sorting temporal data, and allows the filtering of two or more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discontinuous time periods. A Facet filter is also particularly useful when exploring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multidimensional datasets and drilling down to specific aspects of one’s data.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Using case studies (examples listed </w:t>
      </w:r>
      <w:r w:rsidR="00853E86">
        <w:rPr>
          <w:rFonts w:ascii="Times New Roman" w:hAnsi="Times New Roman"/>
          <w:color w:val="262626"/>
          <w:sz w:val="24"/>
          <w:szCs w:val="24"/>
        </w:rPr>
        <w:t>later in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 this document) we will discuss how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scholars have used Palladio, highlighting those instances when uses of the tool diverged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from our expectations or led us toward new insights that we incorporated (or plan to</w:t>
      </w:r>
      <w:r w:rsidR="00CB175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incorporate) in future versions.</w:t>
      </w:r>
    </w:p>
    <w:p w:rsidR="008B69BD" w:rsidRDefault="00CB175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color w:val="262626"/>
          <w:sz w:val="24"/>
          <w:szCs w:val="24"/>
        </w:rPr>
        <w:t xml:space="preserve"> </w:t>
      </w: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Open Design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444444"/>
          <w:sz w:val="24"/>
          <w:szCs w:val="24"/>
        </w:rPr>
        <w:t>The development of Palladio has been an iterative process. We have been eliciting and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444444"/>
          <w:sz w:val="24"/>
          <w:szCs w:val="24"/>
        </w:rPr>
        <w:t>incorporating feedback from the academic community concerning Palladio’s current and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444444"/>
          <w:sz w:val="24"/>
          <w:szCs w:val="24"/>
        </w:rPr>
        <w:t>potential features and uses. Most specifically, we have engaged in sustained discussion with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444444"/>
          <w:sz w:val="24"/>
          <w:szCs w:val="24"/>
        </w:rPr>
        <w:t>a small and inter-disciplinary group of scholars, known as Open Design Contributors. Our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444444"/>
          <w:sz w:val="24"/>
          <w:szCs w:val="24"/>
        </w:rPr>
        <w:t>paper will offer insight into this design process and the ways that it has directly influenced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444444"/>
          <w:sz w:val="24"/>
          <w:szCs w:val="24"/>
        </w:rPr>
        <w:t>current and future iterations of Palladio, as well as other tools.</w:t>
      </w:r>
      <w:r w:rsidR="00CB1756">
        <w:rPr>
          <w:rFonts w:ascii="Times New Roman" w:hAnsi="Times New Roman"/>
          <w:color w:val="444444"/>
          <w:sz w:val="24"/>
          <w:szCs w:val="24"/>
        </w:rPr>
        <w:t xml:space="preserve"> </w:t>
      </w:r>
    </w:p>
    <w:p w:rsidR="00CB1756" w:rsidRDefault="00CB175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Summary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lastRenderedPageBreak/>
        <w:t>The core innovation of our project is the design of visualization techniques that emphasize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the contextualization and interpretation of data in cases where we lack the metrics for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useful quantitative analysis. The two other key innovations both involve the leveraging of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novel technologies that are particularly important to the study of cultural heritage data: we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use new flexible data models to let individual scholars create and apply their own data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categorizations</w:t>
      </w:r>
      <w:r w:rsidR="00853E86">
        <w:rPr>
          <w:rFonts w:ascii="Times New Roman" w:hAnsi="Times New Roman"/>
          <w:color w:val="000000"/>
          <w:sz w:val="24"/>
          <w:szCs w:val="24"/>
        </w:rPr>
        <w:t>,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 and we use open linked data sources to reconcile datasets against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established authority files, in order to link entities across datasets and thereby explore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networks across collections.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36A25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 xml:space="preserve">Additional </w:t>
      </w:r>
      <w:r w:rsidR="00853E86">
        <w:rPr>
          <w:rFonts w:ascii="Times New Roman" w:hAnsi="Times New Roman"/>
          <w:b/>
          <w:iCs/>
          <w:color w:val="000000"/>
          <w:sz w:val="24"/>
          <w:szCs w:val="24"/>
        </w:rPr>
        <w:t>C</w:t>
      </w: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 xml:space="preserve">ase </w:t>
      </w:r>
      <w:r w:rsidR="00853E86">
        <w:rPr>
          <w:rFonts w:ascii="Times New Roman" w:hAnsi="Times New Roman"/>
          <w:b/>
          <w:iCs/>
          <w:color w:val="000000"/>
          <w:sz w:val="24"/>
          <w:szCs w:val="24"/>
        </w:rPr>
        <w:t>S</w:t>
      </w: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 xml:space="preserve">tudies to </w:t>
      </w:r>
      <w:r w:rsidR="00853E86">
        <w:rPr>
          <w:rFonts w:ascii="Times New Roman" w:hAnsi="Times New Roman"/>
          <w:b/>
          <w:iCs/>
          <w:color w:val="000000"/>
          <w:sz w:val="24"/>
          <w:szCs w:val="24"/>
        </w:rPr>
        <w:t>B</w:t>
      </w: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 xml:space="preserve">e </w:t>
      </w:r>
      <w:r w:rsidR="00853E86">
        <w:rPr>
          <w:rFonts w:ascii="Times New Roman" w:hAnsi="Times New Roman"/>
          <w:b/>
          <w:iCs/>
          <w:color w:val="000000"/>
          <w:sz w:val="24"/>
          <w:szCs w:val="24"/>
        </w:rPr>
        <w:t>D</w:t>
      </w:r>
      <w:r w:rsidRPr="00E5275D">
        <w:rPr>
          <w:rFonts w:ascii="Times New Roman" w:hAnsi="Times New Roman"/>
          <w:b/>
          <w:iCs/>
          <w:color w:val="000000"/>
          <w:sz w:val="24"/>
          <w:szCs w:val="24"/>
        </w:rPr>
        <w:t>iscussed</w:t>
      </w: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Case Study: Toward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M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ore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C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omplex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W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ays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o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f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D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isplaying </w:t>
      </w:r>
      <w:r w:rsidR="00853E86">
        <w:rPr>
          <w:rFonts w:ascii="Times New Roman" w:hAnsi="Times New Roman"/>
          <w:bCs/>
          <w:i/>
          <w:iCs/>
          <w:color w:val="000000"/>
          <w:sz w:val="24"/>
          <w:szCs w:val="24"/>
        </w:rPr>
        <w:t>T</w:t>
      </w: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>ravel</w:t>
      </w:r>
    </w:p>
    <w:p w:rsidR="008B69BD" w:rsidRPr="00853E86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0F37F0">
        <w:rPr>
          <w:rFonts w:ascii="Times New Roman" w:hAnsi="Times New Roman"/>
          <w:i/>
          <w:iCs/>
          <w:color w:val="000000"/>
          <w:sz w:val="24"/>
          <w:szCs w:val="24"/>
        </w:rPr>
        <w:t xml:space="preserve">Kate </w:t>
      </w:r>
      <w:proofErr w:type="spellStart"/>
      <w:r w:rsidRPr="000F37F0">
        <w:rPr>
          <w:rFonts w:ascii="Times New Roman" w:hAnsi="Times New Roman"/>
          <w:i/>
          <w:iCs/>
          <w:color w:val="000000"/>
          <w:sz w:val="24"/>
          <w:szCs w:val="24"/>
        </w:rPr>
        <w:t>Elswit</w:t>
      </w:r>
      <w:proofErr w:type="spellEnd"/>
      <w:r w:rsidRPr="000F37F0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E5275D">
        <w:rPr>
          <w:rFonts w:ascii="Times New Roman" w:hAnsi="Times New Roman"/>
          <w:i/>
          <w:color w:val="000000"/>
          <w:sz w:val="24"/>
          <w:szCs w:val="24"/>
        </w:rPr>
        <w:t>Lecturer in Theatre and Performance Studies at the University of</w:t>
      </w:r>
      <w:r w:rsidR="00CB1756" w:rsidRPr="00E5275D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E5275D">
        <w:rPr>
          <w:rFonts w:ascii="Times New Roman" w:hAnsi="Times New Roman"/>
          <w:i/>
          <w:color w:val="000000"/>
          <w:sz w:val="24"/>
          <w:szCs w:val="24"/>
        </w:rPr>
        <w:t>Bristol,</w:t>
      </w:r>
      <w:r w:rsidR="00853E86">
        <w:rPr>
          <w:rFonts w:ascii="Times New Roman" w:hAnsi="Times New Roman"/>
          <w:i/>
          <w:iCs/>
          <w:color w:val="000000"/>
          <w:sz w:val="24"/>
          <w:szCs w:val="24"/>
        </w:rPr>
        <w:t xml:space="preserve"> ‘</w:t>
      </w:r>
      <w:r w:rsidRPr="00853E86">
        <w:rPr>
          <w:rFonts w:ascii="Times New Roman" w:hAnsi="Times New Roman"/>
          <w:i/>
          <w:iCs/>
          <w:color w:val="000000"/>
          <w:sz w:val="24"/>
          <w:szCs w:val="24"/>
        </w:rPr>
        <w:t>Ballet, Digital History, and the Cold War: Visualizing the Labor of Dance</w:t>
      </w:r>
      <w:r w:rsidR="00CB1756" w:rsidRPr="00853E8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53E86">
        <w:rPr>
          <w:rFonts w:ascii="Times New Roman" w:hAnsi="Times New Roman"/>
          <w:i/>
          <w:iCs/>
          <w:color w:val="000000"/>
          <w:sz w:val="24"/>
          <w:szCs w:val="24"/>
        </w:rPr>
        <w:t>Touring</w:t>
      </w:r>
      <w:r w:rsidR="00853E86">
        <w:rPr>
          <w:rFonts w:ascii="Times New Roman" w:hAnsi="Times New Roman"/>
          <w:i/>
          <w:iCs/>
          <w:color w:val="000000"/>
          <w:sz w:val="24"/>
          <w:szCs w:val="24"/>
        </w:rPr>
        <w:t>’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 xml:space="preserve">Dance scholar Kate </w:t>
      </w:r>
      <w:proofErr w:type="spellStart"/>
      <w:r w:rsidRPr="008B69BD">
        <w:rPr>
          <w:rFonts w:ascii="Times New Roman" w:hAnsi="Times New Roman"/>
          <w:color w:val="000000"/>
          <w:sz w:val="24"/>
          <w:szCs w:val="24"/>
        </w:rPr>
        <w:t>Elswit</w:t>
      </w:r>
      <w:proofErr w:type="spellEnd"/>
      <w:r w:rsidRPr="008B69BD">
        <w:rPr>
          <w:rFonts w:ascii="Times New Roman" w:hAnsi="Times New Roman"/>
          <w:color w:val="000000"/>
          <w:sz w:val="24"/>
          <w:szCs w:val="24"/>
        </w:rPr>
        <w:t xml:space="preserve"> has been using Palladio in her research on the labor of dance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touring. She writes</w:t>
      </w:r>
      <w:r w:rsidR="00853E86">
        <w:rPr>
          <w:rFonts w:ascii="Times New Roman" w:hAnsi="Times New Roman"/>
          <w:color w:val="000000"/>
          <w:sz w:val="24"/>
          <w:szCs w:val="24"/>
        </w:rPr>
        <w:t>,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3E86">
        <w:rPr>
          <w:rFonts w:ascii="Times New Roman" w:hAnsi="Times New Roman"/>
          <w:color w:val="000000"/>
          <w:sz w:val="24"/>
          <w:szCs w:val="24"/>
        </w:rPr>
        <w:t>‘S</w:t>
      </w:r>
      <w:r w:rsidRPr="008B69BD">
        <w:rPr>
          <w:rFonts w:ascii="Times New Roman" w:hAnsi="Times New Roman"/>
          <w:color w:val="000000"/>
          <w:sz w:val="24"/>
          <w:szCs w:val="24"/>
        </w:rPr>
        <w:t>uch [visualization] techniques enable us to feel the passage of time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differently.</w:t>
      </w:r>
      <w:r w:rsidR="00853E86">
        <w:rPr>
          <w:rFonts w:ascii="Times New Roman" w:hAnsi="Times New Roman"/>
          <w:color w:val="000000"/>
          <w:sz w:val="24"/>
          <w:szCs w:val="24"/>
        </w:rPr>
        <w:t xml:space="preserve">’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Following discussion with </w:t>
      </w:r>
      <w:proofErr w:type="spellStart"/>
      <w:r w:rsidRPr="008B69BD">
        <w:rPr>
          <w:rFonts w:ascii="Times New Roman" w:hAnsi="Times New Roman"/>
          <w:color w:val="000000"/>
          <w:sz w:val="24"/>
          <w:szCs w:val="24"/>
        </w:rPr>
        <w:t>Elswit</w:t>
      </w:r>
      <w:proofErr w:type="spellEnd"/>
      <w:r w:rsidRPr="008B69BD">
        <w:rPr>
          <w:rFonts w:ascii="Times New Roman" w:hAnsi="Times New Roman"/>
          <w:color w:val="000000"/>
          <w:sz w:val="24"/>
          <w:szCs w:val="24"/>
        </w:rPr>
        <w:t xml:space="preserve"> and other scholars interested in tracing travel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routes, we have been thinking about how to display point-to-point travel in ways that go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beyond simple flight-path-like visualizations. How to account for the differences in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traveling at night rather than in the day? How to represent different levels of comfort,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safety, and efficiency in travel?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>Case Study: Questions of Scale and Incomplete Data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B69BD">
        <w:rPr>
          <w:rFonts w:ascii="Times New Roman" w:hAnsi="Times New Roman"/>
          <w:i/>
          <w:iCs/>
          <w:color w:val="000000"/>
          <w:sz w:val="24"/>
          <w:szCs w:val="24"/>
        </w:rPr>
        <w:t>Molly Taylor-</w:t>
      </w:r>
      <w:proofErr w:type="spellStart"/>
      <w:r w:rsidRPr="008B69BD">
        <w:rPr>
          <w:rFonts w:ascii="Times New Roman" w:hAnsi="Times New Roman"/>
          <w:i/>
          <w:iCs/>
          <w:color w:val="000000"/>
          <w:sz w:val="24"/>
          <w:szCs w:val="24"/>
        </w:rPr>
        <w:t>Poleskey</w:t>
      </w:r>
      <w:proofErr w:type="spellEnd"/>
      <w:r w:rsidRPr="008B69BD">
        <w:rPr>
          <w:rFonts w:ascii="Times New Roman" w:hAnsi="Times New Roman"/>
          <w:i/>
          <w:iCs/>
          <w:color w:val="000000"/>
          <w:sz w:val="24"/>
          <w:szCs w:val="24"/>
        </w:rPr>
        <w:t>, PhD Candidate, Department of History, Stanford: Food Culture in</w:t>
      </w:r>
      <w:r w:rsidR="00CB175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i/>
          <w:iCs/>
          <w:color w:val="000000"/>
          <w:sz w:val="24"/>
          <w:szCs w:val="24"/>
        </w:rPr>
        <w:t>Brandenburg-Prussia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22222"/>
          <w:sz w:val="24"/>
          <w:szCs w:val="24"/>
        </w:rPr>
      </w:pPr>
      <w:r w:rsidRPr="008B69BD">
        <w:rPr>
          <w:rFonts w:ascii="Times New Roman" w:hAnsi="Times New Roman"/>
          <w:color w:val="222222"/>
          <w:sz w:val="24"/>
          <w:szCs w:val="24"/>
        </w:rPr>
        <w:t>Taylor-</w:t>
      </w:r>
      <w:proofErr w:type="spellStart"/>
      <w:r w:rsidRPr="008B69BD">
        <w:rPr>
          <w:rFonts w:ascii="Times New Roman" w:hAnsi="Times New Roman"/>
          <w:color w:val="222222"/>
          <w:sz w:val="24"/>
          <w:szCs w:val="24"/>
        </w:rPr>
        <w:t>Poleskey</w:t>
      </w:r>
      <w:proofErr w:type="spellEnd"/>
      <w:r w:rsidRPr="008B69BD">
        <w:rPr>
          <w:rFonts w:ascii="Times New Roman" w:hAnsi="Times New Roman"/>
          <w:color w:val="222222"/>
          <w:sz w:val="24"/>
          <w:szCs w:val="24"/>
        </w:rPr>
        <w:t xml:space="preserve"> uses a large base of manuscript sources detailing the yearly consumption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of one of the palaces of Prince-Elector Friedrich Wilhelm of Brandenburg-Prussia. She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argues that the elector’s cultural agenda helped transform his territories over the course of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his reign from dilapidated and war</w:t>
      </w:r>
      <w:r w:rsidR="00853E86">
        <w:rPr>
          <w:rFonts w:ascii="Times New Roman" w:hAnsi="Times New Roman"/>
          <w:color w:val="222222"/>
          <w:sz w:val="24"/>
          <w:szCs w:val="24"/>
        </w:rPr>
        <w:t>-</w:t>
      </w:r>
      <w:r w:rsidRPr="008B69BD">
        <w:rPr>
          <w:rFonts w:ascii="Times New Roman" w:hAnsi="Times New Roman"/>
          <w:color w:val="222222"/>
          <w:sz w:val="24"/>
          <w:szCs w:val="24"/>
        </w:rPr>
        <w:t>torn to stable and powerful. To support her argument,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she wants to see how tastes and consumption patterns changed over time, to consider how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such changes might reveal the court’s aesthetic values and cultural ambitions. Creating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visualizations in Palladio have helped her analyze what proportions of different foods or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food groups were consumed. We have worked with Taylor-</w:t>
      </w:r>
      <w:proofErr w:type="spellStart"/>
      <w:r w:rsidRPr="008B69BD">
        <w:rPr>
          <w:rFonts w:ascii="Times New Roman" w:hAnsi="Times New Roman"/>
          <w:color w:val="222222"/>
          <w:sz w:val="24"/>
          <w:szCs w:val="24"/>
        </w:rPr>
        <w:t>Poleskey</w:t>
      </w:r>
      <w:proofErr w:type="spellEnd"/>
      <w:r w:rsidRPr="008B69BD">
        <w:rPr>
          <w:rFonts w:ascii="Times New Roman" w:hAnsi="Times New Roman"/>
          <w:color w:val="222222"/>
          <w:sz w:val="24"/>
          <w:szCs w:val="24"/>
        </w:rPr>
        <w:t xml:space="preserve"> toward creating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visualizations that privilege the display of relative magnitude, and that are especially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sensitive to working in different registers and scales. As some of the years in the sources she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studies have incomplete or missing data, her use case has also aided us in thinking about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how best to work with and represent incomplete data in ways that are not misleading or</w:t>
      </w:r>
      <w:r w:rsidR="00CB1756"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22222"/>
          <w:sz w:val="24"/>
          <w:szCs w:val="24"/>
        </w:rPr>
        <w:t>overly simplistic.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:rsidR="008B69BD" w:rsidRPr="00E5275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5275D">
        <w:rPr>
          <w:rFonts w:ascii="Times New Roman" w:hAnsi="Times New Roman"/>
          <w:bCs/>
          <w:i/>
          <w:iCs/>
          <w:color w:val="000000"/>
          <w:sz w:val="24"/>
          <w:szCs w:val="24"/>
        </w:rPr>
        <w:t>Case Study: Toward New Palladio Data-Visualization Iterations</w:t>
      </w:r>
    </w:p>
    <w:p w:rsidR="00853E86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B69BD">
        <w:rPr>
          <w:rFonts w:ascii="Times New Roman" w:hAnsi="Times New Roman"/>
          <w:i/>
          <w:iCs/>
          <w:color w:val="000000"/>
          <w:sz w:val="24"/>
          <w:szCs w:val="24"/>
        </w:rPr>
        <w:t>Office of the Historian, US State Department, Foreign Relations of the United States</w:t>
      </w:r>
      <w:r w:rsidR="00CB1756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 w:rsidRPr="008B69BD">
        <w:rPr>
          <w:rFonts w:ascii="Times New Roman" w:hAnsi="Times New Roman"/>
          <w:color w:val="000000"/>
          <w:sz w:val="24"/>
          <w:szCs w:val="24"/>
        </w:rPr>
        <w:t>We will share results from our ongoing work with Thomas Faith at the Office of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Historian at the US Department of State, with whom we have been working toward the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goal of producing an </w:t>
      </w:r>
      <w:r w:rsidRPr="008B69BD">
        <w:rPr>
          <w:rFonts w:ascii="Times New Roman" w:hAnsi="Times New Roman"/>
          <w:color w:val="000000"/>
          <w:sz w:val="24"/>
          <w:szCs w:val="24"/>
        </w:rPr>
        <w:lastRenderedPageBreak/>
        <w:t>integrated version of Palladio that would function as a visual browser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for extant online data concerning the </w:t>
      </w:r>
      <w:r w:rsidR="00853E86">
        <w:rPr>
          <w:rFonts w:ascii="Times New Roman" w:hAnsi="Times New Roman"/>
          <w:color w:val="000000"/>
          <w:sz w:val="24"/>
          <w:szCs w:val="24"/>
        </w:rPr>
        <w:t>f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oreign </w:t>
      </w:r>
      <w:r w:rsidR="00853E86">
        <w:rPr>
          <w:rFonts w:ascii="Times New Roman" w:hAnsi="Times New Roman"/>
          <w:color w:val="000000"/>
          <w:sz w:val="24"/>
          <w:szCs w:val="24"/>
        </w:rPr>
        <w:t>r</w:t>
      </w:r>
      <w:r w:rsidRPr="008B69BD">
        <w:rPr>
          <w:rFonts w:ascii="Times New Roman" w:hAnsi="Times New Roman"/>
          <w:color w:val="000000"/>
          <w:sz w:val="24"/>
          <w:szCs w:val="24"/>
        </w:rPr>
        <w:t>elations of the United States. The State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Department project is one of many we are working on, as we look to help other researchers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 xml:space="preserve">to implement customized versions </w:t>
      </w:r>
      <w:r w:rsidR="00853E86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Pr="008B69BD">
        <w:rPr>
          <w:rFonts w:ascii="Times New Roman" w:hAnsi="Times New Roman"/>
          <w:color w:val="000000"/>
          <w:sz w:val="24"/>
          <w:szCs w:val="24"/>
        </w:rPr>
        <w:t>Palladio that can be used as search, analysis, and</w:t>
      </w:r>
      <w:r w:rsidR="00CB17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000000"/>
          <w:sz w:val="24"/>
          <w:szCs w:val="24"/>
        </w:rPr>
        <w:t>visualization exploratory tools within extant large-scale research projects.</w:t>
      </w:r>
    </w:p>
    <w:p w:rsid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B69BD" w:rsidRPr="008B69BD" w:rsidRDefault="008B69BD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iCs/>
          <w:color w:val="000000"/>
          <w:sz w:val="24"/>
          <w:szCs w:val="24"/>
        </w:rPr>
        <w:t>References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Balsamo, A.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2009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Design.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International Journal of Learning and Media,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>1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(4): 1–10.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Berry, D. M.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2012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Understanding Digital Humanities.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Palgrave Macmillan,</w:t>
      </w:r>
      <w:r>
        <w:rPr>
          <w:rFonts w:ascii="Times New Roman" w:hAnsi="Times New Roman"/>
          <w:color w:val="262626"/>
          <w:sz w:val="24"/>
          <w:szCs w:val="24"/>
        </w:rPr>
        <w:t xml:space="preserve"> New York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Buchanan, R. </w:t>
      </w:r>
      <w:r>
        <w:rPr>
          <w:rFonts w:ascii="Times New Roman" w:hAnsi="Times New Roman"/>
          <w:color w:val="262626"/>
          <w:sz w:val="24"/>
          <w:szCs w:val="24"/>
        </w:rPr>
        <w:t>(2001).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Design </w:t>
      </w:r>
      <w:r>
        <w:rPr>
          <w:rFonts w:ascii="Times New Roman" w:hAnsi="Times New Roman"/>
          <w:color w:val="262626"/>
          <w:sz w:val="24"/>
          <w:szCs w:val="24"/>
        </w:rPr>
        <w:t>R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esearch and the </w:t>
      </w:r>
      <w:r>
        <w:rPr>
          <w:rFonts w:ascii="Times New Roman" w:hAnsi="Times New Roman"/>
          <w:color w:val="262626"/>
          <w:sz w:val="24"/>
          <w:szCs w:val="24"/>
        </w:rPr>
        <w:t>N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ew </w:t>
      </w:r>
      <w:r>
        <w:rPr>
          <w:rFonts w:ascii="Times New Roman" w:hAnsi="Times New Roman"/>
          <w:color w:val="262626"/>
          <w:sz w:val="24"/>
          <w:szCs w:val="24"/>
        </w:rPr>
        <w:t>L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earning.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Design Issues,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>17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(4)</w:t>
      </w:r>
      <w:r>
        <w:rPr>
          <w:rFonts w:ascii="Times New Roman" w:hAnsi="Times New Roman"/>
          <w:color w:val="262626"/>
          <w:sz w:val="24"/>
          <w:szCs w:val="24"/>
        </w:rPr>
        <w:t>: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3–23.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Burdick, A. </w:t>
      </w:r>
      <w:r>
        <w:rPr>
          <w:rFonts w:ascii="Times New Roman" w:hAnsi="Times New Roman"/>
          <w:color w:val="262626"/>
          <w:sz w:val="24"/>
          <w:szCs w:val="24"/>
        </w:rPr>
        <w:t xml:space="preserve">(2009).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Design Without Designers.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Conference on the Future of Art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and Design Education in the 21st Century</w:t>
      </w:r>
      <w:r>
        <w:rPr>
          <w:rFonts w:ascii="Times New Roman" w:hAnsi="Times New Roman"/>
          <w:color w:val="262626"/>
          <w:sz w:val="24"/>
          <w:szCs w:val="24"/>
        </w:rPr>
        <w:t>,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University of Brighton, England</w:t>
      </w:r>
      <w:r>
        <w:rPr>
          <w:rFonts w:ascii="Times New Roman" w:hAnsi="Times New Roman"/>
          <w:color w:val="262626"/>
          <w:sz w:val="24"/>
          <w:szCs w:val="24"/>
        </w:rPr>
        <w:t>, 29 April 2009.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Burdick, A. and Willis, H.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2011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Digital </w:t>
      </w:r>
      <w:r>
        <w:rPr>
          <w:rFonts w:ascii="Times New Roman" w:hAnsi="Times New Roman"/>
          <w:color w:val="262626"/>
          <w:sz w:val="24"/>
          <w:szCs w:val="24"/>
        </w:rPr>
        <w:t>L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earning, </w:t>
      </w:r>
      <w:r>
        <w:rPr>
          <w:rFonts w:ascii="Times New Roman" w:hAnsi="Times New Roman"/>
          <w:color w:val="262626"/>
          <w:sz w:val="24"/>
          <w:szCs w:val="24"/>
        </w:rPr>
        <w:t>D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igital </w:t>
      </w:r>
      <w:r>
        <w:rPr>
          <w:rFonts w:ascii="Times New Roman" w:hAnsi="Times New Roman"/>
          <w:color w:val="262626"/>
          <w:sz w:val="24"/>
          <w:szCs w:val="24"/>
        </w:rPr>
        <w:t>S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cholarship</w:t>
      </w:r>
      <w:r>
        <w:rPr>
          <w:rFonts w:ascii="Times New Roman" w:hAnsi="Times New Roman"/>
          <w:color w:val="262626"/>
          <w:sz w:val="24"/>
          <w:szCs w:val="24"/>
        </w:rPr>
        <w:t>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and </w:t>
      </w:r>
      <w:r>
        <w:rPr>
          <w:rFonts w:ascii="Times New Roman" w:hAnsi="Times New Roman"/>
          <w:color w:val="262626"/>
          <w:sz w:val="24"/>
          <w:szCs w:val="24"/>
        </w:rPr>
        <w:t>D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esign </w:t>
      </w:r>
      <w:r>
        <w:rPr>
          <w:rFonts w:ascii="Times New Roman" w:hAnsi="Times New Roman"/>
          <w:color w:val="262626"/>
          <w:sz w:val="24"/>
          <w:szCs w:val="24"/>
        </w:rPr>
        <w:t>T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hinking.</w:t>
      </w:r>
      <w:r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Design Studies,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>32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(6)</w:t>
      </w:r>
      <w:r>
        <w:rPr>
          <w:rFonts w:ascii="Times New Roman" w:hAnsi="Times New Roman"/>
          <w:color w:val="262626"/>
          <w:sz w:val="24"/>
          <w:szCs w:val="24"/>
        </w:rPr>
        <w:t xml:space="preserve">: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546</w:t>
      </w:r>
      <w:r>
        <w:rPr>
          <w:rFonts w:ascii="Times New Roman" w:hAnsi="Times New Roman"/>
          <w:color w:val="262626"/>
          <w:sz w:val="24"/>
          <w:szCs w:val="24"/>
        </w:rPr>
        <w:t>–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56.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Drucker, J. </w:t>
      </w:r>
      <w:r>
        <w:rPr>
          <w:rFonts w:ascii="Times New Roman" w:hAnsi="Times New Roman"/>
          <w:color w:val="262626"/>
          <w:sz w:val="24"/>
          <w:szCs w:val="24"/>
        </w:rPr>
        <w:t xml:space="preserve">(2009).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SpecLab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>
        <w:rPr>
          <w:rFonts w:ascii="Times New Roman" w:hAnsi="Times New Roman"/>
          <w:color w:val="262626"/>
          <w:sz w:val="24"/>
          <w:szCs w:val="24"/>
        </w:rPr>
        <w:t xml:space="preserve">In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Digital Aesthetics and Projects in Speculative Computing.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University of Chicago Press,</w:t>
      </w:r>
      <w:r>
        <w:rPr>
          <w:rFonts w:ascii="Times New Roman" w:hAnsi="Times New Roman"/>
          <w:color w:val="262626"/>
          <w:sz w:val="24"/>
          <w:szCs w:val="24"/>
        </w:rPr>
        <w:t xml:space="preserve"> Chicago.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Drucker, J.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2011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Humanities Approach to Interface Theory.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Culture Machine,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>12</w:t>
      </w:r>
      <w:r>
        <w:rPr>
          <w:rFonts w:ascii="Times New Roman" w:hAnsi="Times New Roman"/>
          <w:color w:val="262626"/>
          <w:sz w:val="24"/>
          <w:szCs w:val="24"/>
        </w:rPr>
        <w:t>: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1–20.</w:t>
      </w:r>
    </w:p>
    <w:p w:rsidR="008B69BD" w:rsidRPr="008B69BD" w:rsidRDefault="00853E86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Friedman, K.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2003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Theory </w:t>
      </w:r>
      <w:r>
        <w:rPr>
          <w:rFonts w:ascii="Times New Roman" w:hAnsi="Times New Roman"/>
          <w:color w:val="262626"/>
          <w:sz w:val="24"/>
          <w:szCs w:val="24"/>
        </w:rPr>
        <w:t>C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onstruction in </w:t>
      </w:r>
      <w:r>
        <w:rPr>
          <w:rFonts w:ascii="Times New Roman" w:hAnsi="Times New Roman"/>
          <w:color w:val="262626"/>
          <w:sz w:val="24"/>
          <w:szCs w:val="24"/>
        </w:rPr>
        <w:t>D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esign </w:t>
      </w:r>
      <w:r>
        <w:rPr>
          <w:rFonts w:ascii="Times New Roman" w:hAnsi="Times New Roman"/>
          <w:color w:val="262626"/>
          <w:sz w:val="24"/>
          <w:szCs w:val="24"/>
        </w:rPr>
        <w:t>R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esearch</w:t>
      </w:r>
      <w:r>
        <w:rPr>
          <w:rFonts w:ascii="Times New Roman" w:hAnsi="Times New Roman"/>
          <w:color w:val="262626"/>
          <w:sz w:val="24"/>
          <w:szCs w:val="24"/>
        </w:rPr>
        <w:t>: C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riteria</w:t>
      </w:r>
      <w:r>
        <w:rPr>
          <w:rFonts w:ascii="Times New Roman" w:hAnsi="Times New Roman"/>
          <w:color w:val="262626"/>
          <w:sz w:val="24"/>
          <w:szCs w:val="24"/>
        </w:rPr>
        <w:t>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/>
          <w:color w:val="262626"/>
          <w:sz w:val="24"/>
          <w:szCs w:val="24"/>
        </w:rPr>
        <w:t>A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pproaches, and</w:t>
      </w:r>
      <w:r>
        <w:rPr>
          <w:rFonts w:ascii="Times New Roman" w:hAnsi="Times New Roman"/>
          <w:color w:val="262626"/>
          <w:sz w:val="24"/>
          <w:szCs w:val="24"/>
        </w:rPr>
        <w:t xml:space="preserve"> M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ethods.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Design Studies,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>24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(6)</w:t>
      </w:r>
      <w:r>
        <w:rPr>
          <w:rFonts w:ascii="Times New Roman" w:hAnsi="Times New Roman"/>
          <w:color w:val="262626"/>
          <w:sz w:val="24"/>
          <w:szCs w:val="24"/>
        </w:rPr>
        <w:t xml:space="preserve">: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16.</w:t>
      </w:r>
    </w:p>
    <w:p w:rsidR="00B13D6C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>Fuller, M.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2008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Software </w:t>
      </w:r>
      <w:r>
        <w:rPr>
          <w:rFonts w:ascii="Times New Roman" w:hAnsi="Times New Roman"/>
          <w:color w:val="262626"/>
          <w:sz w:val="24"/>
          <w:szCs w:val="24"/>
        </w:rPr>
        <w:t>S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tudies. </w:t>
      </w:r>
      <w:r>
        <w:rPr>
          <w:rFonts w:ascii="Times New Roman" w:hAnsi="Times New Roman"/>
          <w:color w:val="262626"/>
          <w:sz w:val="24"/>
          <w:szCs w:val="24"/>
        </w:rPr>
        <w:t xml:space="preserve">MIT Press,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Cambridge</w:t>
      </w:r>
      <w:r>
        <w:rPr>
          <w:rFonts w:ascii="Times New Roman" w:hAnsi="Times New Roman"/>
          <w:color w:val="262626"/>
          <w:sz w:val="24"/>
          <w:szCs w:val="24"/>
        </w:rPr>
        <w:t>, MA.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>Ivanhoe.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3247FB">
        <w:rPr>
          <w:rFonts w:ascii="Times New Roman" w:hAnsi="Times New Roman"/>
          <w:color w:val="262626"/>
          <w:sz w:val="24"/>
          <w:szCs w:val="24"/>
        </w:rPr>
        <w:t>(</w:t>
      </w:r>
      <w:proofErr w:type="spellStart"/>
      <w:r w:rsidR="003247FB">
        <w:rPr>
          <w:rFonts w:ascii="Times New Roman" w:hAnsi="Times New Roman"/>
          <w:color w:val="262626"/>
          <w:sz w:val="24"/>
          <w:szCs w:val="24"/>
        </w:rPr>
        <w:t>n.d.</w:t>
      </w:r>
      <w:proofErr w:type="spellEnd"/>
      <w:r w:rsidR="003247FB">
        <w:rPr>
          <w:rFonts w:ascii="Times New Roman" w:hAnsi="Times New Roman"/>
          <w:color w:val="262626"/>
          <w:sz w:val="24"/>
          <w:szCs w:val="24"/>
        </w:rPr>
        <w:t xml:space="preserve">).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http://www2.iath.virginia.edu/jjm2f/old/IGamehtm.html</w:t>
      </w:r>
      <w:r w:rsidR="00336A25">
        <w:rPr>
          <w:rFonts w:ascii="Times New Roman" w:hAnsi="Times New Roman"/>
          <w:color w:val="262626"/>
          <w:sz w:val="24"/>
          <w:szCs w:val="24"/>
        </w:rPr>
        <w:t>.</w:t>
      </w:r>
      <w:r>
        <w:rPr>
          <w:rFonts w:ascii="Times New Roman" w:hAnsi="Times New Roman"/>
          <w:color w:val="262626"/>
          <w:sz w:val="24"/>
          <w:szCs w:val="24"/>
        </w:rPr>
        <w:t xml:space="preserve"> </w:t>
      </w:r>
    </w:p>
    <w:p w:rsidR="008B69BD" w:rsidRPr="00E5275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Lunenfeld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P., Burdick, A., Drucker, J., </w:t>
      </w: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Presner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T. and </w:t>
      </w: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Schnapp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, J</w:t>
      </w:r>
      <w:r w:rsidRPr="000F37F0">
        <w:rPr>
          <w:rFonts w:ascii="Times New Roman" w:hAnsi="Times New Roman"/>
          <w:b/>
          <w:color w:val="262626"/>
          <w:sz w:val="24"/>
          <w:szCs w:val="24"/>
        </w:rPr>
        <w:t>.</w:t>
      </w:r>
      <w:r w:rsidR="008B69BD" w:rsidRPr="00E5275D">
        <w:rPr>
          <w:rFonts w:ascii="Times New Roman" w:hAnsi="Times New Roman"/>
          <w:b/>
          <w:color w:val="262626"/>
          <w:sz w:val="24"/>
          <w:szCs w:val="24"/>
        </w:rPr>
        <w:t xml:space="preserve"> P.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2012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.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Digital_Humanities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MIT Press, </w:t>
      </w:r>
      <w:r>
        <w:rPr>
          <w:rFonts w:ascii="Times New Roman" w:hAnsi="Times New Roman"/>
          <w:color w:val="262626"/>
          <w:sz w:val="24"/>
          <w:szCs w:val="24"/>
        </w:rPr>
        <w:t>Cambridge, MA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.</w:t>
      </w:r>
    </w:p>
    <w:p w:rsidR="00853E86" w:rsidRPr="00E5275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  <w:r w:rsidRPr="00E5275D">
        <w:rPr>
          <w:rFonts w:ascii="Times New Roman" w:hAnsi="Times New Roman"/>
          <w:b/>
          <w:sz w:val="24"/>
          <w:szCs w:val="24"/>
        </w:rPr>
        <w:t xml:space="preserve">Mandala Browser. </w:t>
      </w:r>
      <w:r w:rsidR="003247FB" w:rsidRPr="00336A25">
        <w:rPr>
          <w:rFonts w:ascii="Times New Roman" w:hAnsi="Times New Roman"/>
          <w:color w:val="262626"/>
          <w:sz w:val="24"/>
          <w:szCs w:val="24"/>
        </w:rPr>
        <w:t>(</w:t>
      </w:r>
      <w:proofErr w:type="spellStart"/>
      <w:r w:rsidR="003247FB" w:rsidRPr="00336A25">
        <w:rPr>
          <w:rFonts w:ascii="Times New Roman" w:hAnsi="Times New Roman"/>
          <w:color w:val="262626"/>
          <w:sz w:val="24"/>
          <w:szCs w:val="24"/>
        </w:rPr>
        <w:t>n.d.</w:t>
      </w:r>
      <w:proofErr w:type="spellEnd"/>
      <w:r w:rsidR="003247FB" w:rsidRPr="00336A25">
        <w:rPr>
          <w:rFonts w:ascii="Times New Roman" w:hAnsi="Times New Roman"/>
          <w:color w:val="262626"/>
          <w:sz w:val="24"/>
          <w:szCs w:val="24"/>
        </w:rPr>
        <w:t>)</w:t>
      </w:r>
      <w:r w:rsidR="003247FB" w:rsidRPr="00E5275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sz w:val="24"/>
          <w:szCs w:val="24"/>
        </w:rPr>
        <w:t>http://mandala.humviz.org/</w:t>
      </w:r>
      <w:r w:rsidR="00336A25" w:rsidRPr="00E5275D">
        <w:rPr>
          <w:rFonts w:ascii="Times New Roman" w:hAnsi="Times New Roman"/>
          <w:sz w:val="24"/>
          <w:szCs w:val="24"/>
        </w:rPr>
        <w:t>.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  <w:lang w:val="it-IT"/>
        </w:rPr>
        <w:t>Masud, L., Valsecchi, F., Ciuccarelli, P., Ricci, D. and Caviglia, G.</w:t>
      </w:r>
      <w:r w:rsidR="008B69BD" w:rsidRPr="008B69BD">
        <w:rPr>
          <w:rFonts w:ascii="Times New Roman" w:hAnsi="Times New Roman"/>
          <w:color w:val="262626"/>
          <w:sz w:val="24"/>
          <w:szCs w:val="24"/>
          <w:lang w:val="it-IT"/>
        </w:rPr>
        <w:t xml:space="preserve"> </w:t>
      </w:r>
      <w:r w:rsidR="008B69BD" w:rsidRPr="00E5275D">
        <w:rPr>
          <w:rFonts w:ascii="Times New Roman" w:hAnsi="Times New Roman"/>
          <w:color w:val="262626"/>
          <w:sz w:val="24"/>
          <w:szCs w:val="24"/>
          <w:lang w:val="it-IT"/>
        </w:rPr>
        <w:t xml:space="preserve">(2010).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From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Data to Knowledge</w:t>
      </w:r>
      <w:r>
        <w:rPr>
          <w:rFonts w:ascii="Times New Roman" w:hAnsi="Times New Roman"/>
          <w:color w:val="262626"/>
          <w:sz w:val="24"/>
          <w:szCs w:val="24"/>
        </w:rPr>
        <w:t>: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Visualizations as </w:t>
      </w:r>
      <w:r>
        <w:rPr>
          <w:rFonts w:ascii="Times New Roman" w:hAnsi="Times New Roman"/>
          <w:color w:val="262626"/>
          <w:sz w:val="24"/>
          <w:szCs w:val="24"/>
        </w:rPr>
        <w:t>T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ransformation </w:t>
      </w:r>
      <w:r>
        <w:rPr>
          <w:rFonts w:ascii="Times New Roman" w:hAnsi="Times New Roman"/>
          <w:color w:val="262626"/>
          <w:sz w:val="24"/>
          <w:szCs w:val="24"/>
        </w:rPr>
        <w:t>P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rocesses within the Data-Information</w:t>
      </w:r>
      <w:r w:rsidR="00336A25">
        <w:rPr>
          <w:rFonts w:ascii="Times New Roman" w:hAnsi="Times New Roman"/>
          <w:color w:val="262626"/>
          <w:sz w:val="24"/>
          <w:szCs w:val="24"/>
        </w:rPr>
        <w:t>-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Knowledge </w:t>
      </w:r>
      <w:r>
        <w:rPr>
          <w:rFonts w:ascii="Times New Roman" w:hAnsi="Times New Roman"/>
          <w:color w:val="262626"/>
          <w:sz w:val="24"/>
          <w:szCs w:val="24"/>
        </w:rPr>
        <w:t>C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ontinuum. In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Banissi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E.,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Bertschi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S.,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Burkhard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R.,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Counsell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J.,</w:t>
      </w:r>
      <w:r w:rsidRPr="008B69BD" w:rsidDel="00B13D6C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Dastbaz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M.,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Eppler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>M.,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Forsell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/>
          <w:color w:val="262626"/>
          <w:sz w:val="24"/>
          <w:szCs w:val="24"/>
        </w:rPr>
        <w:t xml:space="preserve">C.,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et al. (</w:t>
      </w:r>
      <w:proofErr w:type="spellStart"/>
      <w:r>
        <w:rPr>
          <w:rFonts w:ascii="Times New Roman" w:hAnsi="Times New Roman"/>
          <w:color w:val="262626"/>
          <w:sz w:val="24"/>
          <w:szCs w:val="24"/>
        </w:rPr>
        <w:t>e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ds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>)</w:t>
      </w:r>
      <w:r>
        <w:rPr>
          <w:rFonts w:ascii="Times New Roman" w:hAnsi="Times New Roman"/>
          <w:color w:val="262626"/>
          <w:sz w:val="24"/>
          <w:szCs w:val="24"/>
        </w:rPr>
        <w:t>,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Information </w:t>
      </w:r>
      <w:proofErr w:type="spellStart"/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Visualisation</w:t>
      </w:r>
      <w:proofErr w:type="spellEnd"/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 IV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,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 2010 14th</w:t>
      </w:r>
      <w:r w:rsidR="00853E86" w:rsidRPr="00E5275D">
        <w:rPr>
          <w:rFonts w:ascii="Times New Roman" w:hAnsi="Times New Roman"/>
          <w:i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International Conference</w:t>
      </w:r>
      <w:r>
        <w:rPr>
          <w:rFonts w:ascii="Times New Roman" w:hAnsi="Times New Roman"/>
          <w:color w:val="262626"/>
          <w:sz w:val="24"/>
          <w:szCs w:val="24"/>
        </w:rPr>
        <w:t xml:space="preserve">,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pp. 445–49.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McCarty, W.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2003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Encyclopedia of Library and Information Science.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Vol. 2</w:t>
      </w:r>
      <w:r>
        <w:rPr>
          <w:rFonts w:ascii="Times New Roman" w:hAnsi="Times New Roman"/>
          <w:color w:val="262626"/>
          <w:sz w:val="24"/>
          <w:szCs w:val="24"/>
        </w:rPr>
        <w:t>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2nd ed. New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York: Dekker, pp. 1224</w:t>
      </w:r>
      <w:r>
        <w:rPr>
          <w:rFonts w:ascii="Times New Roman" w:hAnsi="Times New Roman"/>
          <w:color w:val="262626"/>
          <w:sz w:val="24"/>
          <w:szCs w:val="24"/>
        </w:rPr>
        <w:t>–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35.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McGann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J. and Samuels, L.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2004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Deformance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and Interpretation. In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Radiant </w:t>
      </w:r>
      <w:proofErr w:type="spellStart"/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Textuality</w:t>
      </w:r>
      <w:proofErr w:type="spellEnd"/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.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New York: Palgrave Macmillan.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Moretti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, F. 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2005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Graphs, Maps, Trees.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Verso Books, </w:t>
      </w:r>
      <w:r>
        <w:rPr>
          <w:rFonts w:ascii="Times New Roman" w:hAnsi="Times New Roman"/>
          <w:color w:val="262626"/>
          <w:sz w:val="24"/>
          <w:szCs w:val="24"/>
        </w:rPr>
        <w:t>New York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.</w:t>
      </w:r>
    </w:p>
    <w:p w:rsidR="008B69BD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Nowviskie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, B.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2004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Speculative Computing: Instruments for Interpretative</w:t>
      </w:r>
      <w:r w:rsidR="00853E86" w:rsidRPr="00E5275D">
        <w:rPr>
          <w:rFonts w:ascii="Times New Roman" w:hAnsi="Times New Roman"/>
          <w:i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Scholarship.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Ph.D. </w:t>
      </w:r>
      <w:r>
        <w:rPr>
          <w:rFonts w:ascii="Times New Roman" w:hAnsi="Times New Roman"/>
          <w:color w:val="262626"/>
          <w:sz w:val="24"/>
          <w:szCs w:val="24"/>
        </w:rPr>
        <w:t>t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hesis</w:t>
      </w:r>
      <w:r>
        <w:rPr>
          <w:rFonts w:ascii="Times New Roman" w:hAnsi="Times New Roman"/>
          <w:color w:val="262626"/>
          <w:sz w:val="24"/>
          <w:szCs w:val="24"/>
        </w:rPr>
        <w:t>, U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niversity of Virginia.</w:t>
      </w:r>
    </w:p>
    <w:p w:rsidR="00B13D6C" w:rsidRPr="008B69BD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Orbis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.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3247FB">
        <w:rPr>
          <w:rFonts w:ascii="Times New Roman" w:hAnsi="Times New Roman"/>
          <w:color w:val="262626"/>
          <w:sz w:val="24"/>
          <w:szCs w:val="24"/>
        </w:rPr>
        <w:t>(</w:t>
      </w:r>
      <w:proofErr w:type="spellStart"/>
      <w:r w:rsidR="003247FB">
        <w:rPr>
          <w:rFonts w:ascii="Times New Roman" w:hAnsi="Times New Roman"/>
          <w:color w:val="262626"/>
          <w:sz w:val="24"/>
          <w:szCs w:val="24"/>
        </w:rPr>
        <w:t>n.d.</w:t>
      </w:r>
      <w:proofErr w:type="spellEnd"/>
      <w:r w:rsidR="003247FB">
        <w:rPr>
          <w:rFonts w:ascii="Times New Roman" w:hAnsi="Times New Roman"/>
          <w:color w:val="262626"/>
          <w:sz w:val="24"/>
          <w:szCs w:val="24"/>
        </w:rPr>
        <w:t xml:space="preserve">). </w:t>
      </w:r>
      <w:r w:rsidRPr="008B69BD">
        <w:rPr>
          <w:rFonts w:ascii="Times New Roman" w:hAnsi="Times New Roman"/>
          <w:color w:val="262626"/>
          <w:sz w:val="24"/>
          <w:szCs w:val="24"/>
        </w:rPr>
        <w:t>http://orbis.stanford.edu/</w:t>
      </w:r>
      <w:r w:rsidR="00336A25">
        <w:rPr>
          <w:rFonts w:ascii="Times New Roman" w:hAnsi="Times New Roman"/>
          <w:color w:val="262626"/>
          <w:sz w:val="24"/>
          <w:szCs w:val="24"/>
        </w:rPr>
        <w:t>.</w:t>
      </w:r>
    </w:p>
    <w:p w:rsidR="00B13D6C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>Pope, R. 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1995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Textual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I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ntervention: Critical and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C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r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e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ative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S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trategies for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L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 xml:space="preserve">iterary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S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tudies.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Routledge, </w:t>
      </w:r>
      <w:r>
        <w:rPr>
          <w:rFonts w:ascii="Times New Roman" w:hAnsi="Times New Roman"/>
          <w:color w:val="262626"/>
          <w:sz w:val="24"/>
          <w:szCs w:val="24"/>
        </w:rPr>
        <w:t>London.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</w:p>
    <w:p w:rsidR="00B13D6C" w:rsidRDefault="00B13D6C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lastRenderedPageBreak/>
        <w:t xml:space="preserve">Ramsay, S.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2011a</w:t>
      </w:r>
      <w:r>
        <w:rPr>
          <w:rFonts w:ascii="Times New Roman" w:hAnsi="Times New Roman"/>
          <w:color w:val="262626"/>
          <w:sz w:val="24"/>
          <w:szCs w:val="24"/>
        </w:rPr>
        <w:t>).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On Building</w:t>
      </w:r>
      <w:r>
        <w:rPr>
          <w:rFonts w:ascii="Times New Roman" w:hAnsi="Times New Roman"/>
          <w:color w:val="262626"/>
          <w:sz w:val="24"/>
          <w:szCs w:val="24"/>
        </w:rPr>
        <w:t xml:space="preserve">, 11 January, </w:t>
      </w:r>
      <w:r w:rsidRPr="008B69BD">
        <w:rPr>
          <w:rFonts w:ascii="Times New Roman" w:hAnsi="Times New Roman"/>
          <w:color w:val="262626"/>
          <w:sz w:val="24"/>
          <w:szCs w:val="24"/>
        </w:rPr>
        <w:t>http://stephenramsay.us/text/2011/01/11/onNbuilding.html</w:t>
      </w:r>
      <w:r w:rsidR="00336A25">
        <w:rPr>
          <w:rFonts w:ascii="Times New Roman" w:hAnsi="Times New Roman"/>
          <w:color w:val="262626"/>
          <w:sz w:val="24"/>
          <w:szCs w:val="24"/>
        </w:rPr>
        <w:t>.</w:t>
      </w:r>
    </w:p>
    <w:p w:rsidR="008B69BD" w:rsidRPr="008B69BD" w:rsidRDefault="00B13D6C" w:rsidP="00E5275D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Ramsay, S.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2011b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3247FB">
        <w:rPr>
          <w:rFonts w:ascii="Times New Roman" w:hAnsi="Times New Roman"/>
          <w:color w:val="262626"/>
          <w:sz w:val="24"/>
          <w:szCs w:val="24"/>
        </w:rPr>
        <w:t>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Who’s In and Who’s Out</w:t>
      </w:r>
      <w:r>
        <w:rPr>
          <w:rFonts w:ascii="Times New Roman" w:hAnsi="Times New Roman"/>
          <w:color w:val="262626"/>
          <w:sz w:val="24"/>
          <w:szCs w:val="24"/>
        </w:rPr>
        <w:t xml:space="preserve">, 8 </w:t>
      </w:r>
      <w:r w:rsidRPr="008B69BD">
        <w:rPr>
          <w:rFonts w:ascii="Times New Roman" w:hAnsi="Times New Roman"/>
          <w:color w:val="262626"/>
          <w:sz w:val="24"/>
          <w:szCs w:val="24"/>
        </w:rPr>
        <w:t>January</w:t>
      </w:r>
      <w:r>
        <w:rPr>
          <w:rFonts w:ascii="Times New Roman" w:hAnsi="Times New Roman"/>
          <w:color w:val="262626"/>
          <w:sz w:val="24"/>
          <w:szCs w:val="24"/>
        </w:rPr>
        <w:t xml:space="preserve">, </w:t>
      </w:r>
      <w:r w:rsidR="003247FB" w:rsidRPr="008B69BD">
        <w:rPr>
          <w:rFonts w:ascii="Times New Roman" w:hAnsi="Times New Roman"/>
          <w:color w:val="262626"/>
          <w:sz w:val="24"/>
          <w:szCs w:val="24"/>
        </w:rPr>
        <w:t>http://stephenramsay.us/text/2011/01/08/whosNinNandNwhosNout.html</w:t>
      </w:r>
      <w:r w:rsidR="00336A25">
        <w:rPr>
          <w:rFonts w:ascii="Times New Roman" w:hAnsi="Times New Roman"/>
          <w:color w:val="262626"/>
          <w:sz w:val="24"/>
          <w:szCs w:val="24"/>
        </w:rPr>
        <w:t>.</w:t>
      </w:r>
    </w:p>
    <w:p w:rsidR="008B69BD" w:rsidRPr="008B69BD" w:rsidRDefault="003247FB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Ruecker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Radzikowska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, M. and Sinclair, S.</w:t>
      </w:r>
      <w:r>
        <w:rPr>
          <w:rFonts w:ascii="Times New Roman" w:hAnsi="Times New Roman"/>
          <w:color w:val="262626"/>
          <w:sz w:val="24"/>
          <w:szCs w:val="24"/>
        </w:rPr>
        <w:t xml:space="preserve"> 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2011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Visual Interface Design for</w:t>
      </w:r>
      <w:r w:rsidR="00853E86" w:rsidRPr="00E5275D">
        <w:rPr>
          <w:rFonts w:ascii="Times New Roman" w:hAnsi="Times New Roman"/>
          <w:i/>
          <w:color w:val="262626"/>
          <w:sz w:val="24"/>
          <w:szCs w:val="24"/>
        </w:rPr>
        <w:t xml:space="preserve"> </w:t>
      </w:r>
      <w:r w:rsidR="008B69BD" w:rsidRPr="00E5275D">
        <w:rPr>
          <w:rFonts w:ascii="Times New Roman" w:hAnsi="Times New Roman"/>
          <w:i/>
          <w:color w:val="262626"/>
          <w:sz w:val="24"/>
          <w:szCs w:val="24"/>
        </w:rPr>
        <w:t>Digital Cultural Heritage.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proofErr w:type="spellStart"/>
      <w:r w:rsidR="008B69BD" w:rsidRPr="008B69BD">
        <w:rPr>
          <w:rFonts w:ascii="Times New Roman" w:hAnsi="Times New Roman"/>
          <w:color w:val="262626"/>
          <w:sz w:val="24"/>
          <w:szCs w:val="24"/>
        </w:rPr>
        <w:t>Ashgate</w:t>
      </w:r>
      <w:proofErr w:type="spellEnd"/>
      <w:r w:rsidR="008B69BD" w:rsidRPr="008B69BD">
        <w:rPr>
          <w:rFonts w:ascii="Times New Roman" w:hAnsi="Times New Roman"/>
          <w:color w:val="262626"/>
          <w:sz w:val="24"/>
          <w:szCs w:val="24"/>
        </w:rPr>
        <w:t>.</w:t>
      </w:r>
    </w:p>
    <w:p w:rsidR="008B69BD" w:rsidRPr="008B69BD" w:rsidRDefault="003247FB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Schnapp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J. and </w:t>
      </w: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Presner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T.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2009</w:t>
      </w:r>
      <w:r>
        <w:rPr>
          <w:rFonts w:ascii="Times New Roman" w:hAnsi="Times New Roman"/>
          <w:color w:val="262626"/>
          <w:sz w:val="24"/>
          <w:szCs w:val="24"/>
        </w:rPr>
        <w:t xml:space="preserve">).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The Digital Humanities Manifesto</w:t>
      </w:r>
      <w:r w:rsidR="00853E86">
        <w:rPr>
          <w:rFonts w:ascii="Times New Roman" w:hAnsi="Times New Roman"/>
          <w:color w:val="262626"/>
          <w:sz w:val="24"/>
          <w:szCs w:val="24"/>
        </w:rPr>
        <w:t xml:space="preserve">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>2.0</w:t>
      </w:r>
      <w:r>
        <w:rPr>
          <w:rFonts w:ascii="Times New Roman" w:hAnsi="Times New Roman"/>
          <w:color w:val="262626"/>
          <w:sz w:val="24"/>
          <w:szCs w:val="24"/>
        </w:rPr>
        <w:t xml:space="preserve">, 17 June, 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www.humanitiesblast.com/manifesto/Manifesto_V2.pdf</w:t>
      </w:r>
      <w:r w:rsidR="00336A25">
        <w:rPr>
          <w:rFonts w:ascii="Times New Roman" w:hAnsi="Times New Roman"/>
          <w:color w:val="262626"/>
          <w:sz w:val="24"/>
          <w:szCs w:val="24"/>
        </w:rPr>
        <w:t>.</w:t>
      </w:r>
    </w:p>
    <w:p w:rsidR="003247FB" w:rsidRPr="008B69BD" w:rsidRDefault="003247FB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Schon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 xml:space="preserve">, D. A.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r w:rsidRPr="008B69BD">
        <w:rPr>
          <w:rFonts w:ascii="Times New Roman" w:hAnsi="Times New Roman"/>
          <w:color w:val="262626"/>
          <w:sz w:val="24"/>
          <w:szCs w:val="24"/>
        </w:rPr>
        <w:t>1983</w:t>
      </w:r>
      <w:r>
        <w:rPr>
          <w:rFonts w:ascii="Times New Roman" w:hAnsi="Times New Roman"/>
          <w:color w:val="262626"/>
          <w:sz w:val="24"/>
          <w:szCs w:val="24"/>
        </w:rPr>
        <w:t>)</w:t>
      </w:r>
      <w:r w:rsidRPr="008B69BD">
        <w:rPr>
          <w:rFonts w:ascii="Times New Roman" w:hAnsi="Times New Roman"/>
          <w:color w:val="262626"/>
          <w:sz w:val="24"/>
          <w:szCs w:val="24"/>
        </w:rPr>
        <w:t xml:space="preserve">. </w:t>
      </w:r>
      <w:r w:rsidRPr="00E5275D">
        <w:rPr>
          <w:rFonts w:ascii="Times New Roman" w:hAnsi="Times New Roman"/>
          <w:i/>
          <w:color w:val="262626"/>
          <w:sz w:val="24"/>
          <w:szCs w:val="24"/>
        </w:rPr>
        <w:t>The Reflective Practitioner: How Professionals Think in Action.</w:t>
      </w:r>
      <w:r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1st</w:t>
      </w:r>
      <w:r>
        <w:rPr>
          <w:rFonts w:ascii="Times New Roman" w:hAnsi="Times New Roman"/>
          <w:color w:val="262626"/>
          <w:sz w:val="24"/>
          <w:szCs w:val="24"/>
        </w:rPr>
        <w:t xml:space="preserve"> </w:t>
      </w:r>
      <w:r w:rsidRPr="008B69BD">
        <w:rPr>
          <w:rFonts w:ascii="Times New Roman" w:hAnsi="Times New Roman"/>
          <w:color w:val="262626"/>
          <w:sz w:val="24"/>
          <w:szCs w:val="24"/>
        </w:rPr>
        <w:t>ed. Basic Books</w:t>
      </w:r>
      <w:r>
        <w:rPr>
          <w:rFonts w:ascii="Times New Roman" w:hAnsi="Times New Roman"/>
          <w:color w:val="262626"/>
          <w:sz w:val="24"/>
          <w:szCs w:val="24"/>
        </w:rPr>
        <w:t>, New York.</w:t>
      </w:r>
    </w:p>
    <w:p w:rsidR="003247FB" w:rsidRPr="008B69BD" w:rsidRDefault="003247FB" w:rsidP="00336A25">
      <w:pPr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262626"/>
          <w:sz w:val="24"/>
          <w:szCs w:val="24"/>
        </w:rPr>
      </w:pPr>
      <w:r>
        <w:rPr>
          <w:rFonts w:ascii="Times New Roman" w:hAnsi="Times New Roman"/>
          <w:b/>
          <w:color w:val="262626"/>
          <w:sz w:val="24"/>
          <w:szCs w:val="24"/>
        </w:rPr>
        <w:t xml:space="preserve">Temporal Modeling. </w:t>
      </w:r>
      <w:r>
        <w:rPr>
          <w:rFonts w:ascii="Times New Roman" w:hAnsi="Times New Roman"/>
          <w:color w:val="262626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262626"/>
          <w:sz w:val="24"/>
          <w:szCs w:val="24"/>
        </w:rPr>
        <w:t>n.d.</w:t>
      </w:r>
      <w:proofErr w:type="spellEnd"/>
      <w:r>
        <w:rPr>
          <w:rFonts w:ascii="Times New Roman" w:hAnsi="Times New Roman"/>
          <w:color w:val="262626"/>
          <w:sz w:val="24"/>
          <w:szCs w:val="24"/>
        </w:rPr>
        <w:t xml:space="preserve">). </w:t>
      </w:r>
      <w:r w:rsidRPr="008B69BD">
        <w:rPr>
          <w:rFonts w:ascii="Times New Roman" w:hAnsi="Times New Roman"/>
          <w:color w:val="262626"/>
          <w:sz w:val="24"/>
          <w:szCs w:val="24"/>
        </w:rPr>
        <w:t>http://www2.iath.virginia.edu/time/time.html</w:t>
      </w:r>
      <w:r>
        <w:rPr>
          <w:rFonts w:ascii="Times New Roman" w:hAnsi="Times New Roman"/>
          <w:color w:val="262626"/>
          <w:sz w:val="24"/>
          <w:szCs w:val="24"/>
        </w:rPr>
        <w:t>.</w:t>
      </w:r>
    </w:p>
    <w:p w:rsidR="0031038D" w:rsidRPr="008B69BD" w:rsidRDefault="003247FB" w:rsidP="00336A25">
      <w:pPr>
        <w:spacing w:after="0" w:line="320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262626"/>
          <w:sz w:val="24"/>
          <w:szCs w:val="24"/>
        </w:rPr>
        <w:t>Voyant</w:t>
      </w:r>
      <w:proofErr w:type="spellEnd"/>
      <w:r>
        <w:rPr>
          <w:rFonts w:ascii="Times New Roman" w:hAnsi="Times New Roman"/>
          <w:b/>
          <w:color w:val="262626"/>
          <w:sz w:val="24"/>
          <w:szCs w:val="24"/>
        </w:rPr>
        <w:t>.</w:t>
      </w:r>
      <w:r w:rsidR="008B69BD" w:rsidRPr="008B69BD">
        <w:rPr>
          <w:rFonts w:ascii="Times New Roman" w:hAnsi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/>
          <w:color w:val="262626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262626"/>
          <w:sz w:val="24"/>
          <w:szCs w:val="24"/>
        </w:rPr>
        <w:t>n.d.</w:t>
      </w:r>
      <w:proofErr w:type="spellEnd"/>
      <w:r>
        <w:rPr>
          <w:rFonts w:ascii="Times New Roman" w:hAnsi="Times New Roman"/>
          <w:color w:val="262626"/>
          <w:sz w:val="24"/>
          <w:szCs w:val="24"/>
        </w:rPr>
        <w:t xml:space="preserve">). </w:t>
      </w:r>
      <w:r w:rsidRPr="008B69BD">
        <w:rPr>
          <w:rFonts w:ascii="Times New Roman" w:hAnsi="Times New Roman"/>
          <w:color w:val="262626"/>
          <w:sz w:val="24"/>
          <w:szCs w:val="24"/>
        </w:rPr>
        <w:t>http://voyant-tools.org</w:t>
      </w:r>
      <w:r>
        <w:rPr>
          <w:rFonts w:ascii="Times New Roman" w:hAnsi="Times New Roman"/>
          <w:color w:val="262626"/>
          <w:sz w:val="24"/>
          <w:szCs w:val="24"/>
        </w:rPr>
        <w:t>.</w:t>
      </w:r>
      <w:bookmarkStart w:id="0" w:name="_GoBack"/>
      <w:bookmarkEnd w:id="0"/>
    </w:p>
    <w:sectPr w:rsidR="0031038D" w:rsidRPr="008B69BD" w:rsidSect="008B69BD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DEEA I+ 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BD"/>
    <w:rsid w:val="000F37F0"/>
    <w:rsid w:val="0031038D"/>
    <w:rsid w:val="003247FB"/>
    <w:rsid w:val="00336A25"/>
    <w:rsid w:val="00853E86"/>
    <w:rsid w:val="008B69BD"/>
    <w:rsid w:val="00B13D6C"/>
    <w:rsid w:val="00CB1756"/>
    <w:rsid w:val="00D959E8"/>
    <w:rsid w:val="00E35F2C"/>
    <w:rsid w:val="00E5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E98C3DB-0747-484B-9F25-AAA1B6C8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QDEEA I+ Source Sans Pro" w:hAnsi="QDEEA I+ Source Sans Pro" w:cs="QDEEA I+ Source Sans Pro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7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DH2015 Proposal.docx</vt:lpstr>
    </vt:vector>
  </TitlesOfParts>
  <Company/>
  <LinksUpToDate>false</LinksUpToDate>
  <CharactersWithSpaces>12260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DH2015 Proposal.docx</dc:title>
  <dc:subject/>
  <dc:creator>Bob2</dc:creator>
  <cp:keywords/>
  <dc:description/>
  <cp:lastModifiedBy>Bob2</cp:lastModifiedBy>
  <cp:revision>3</cp:revision>
  <dcterms:created xsi:type="dcterms:W3CDTF">2015-04-20T01:38:00Z</dcterms:created>
  <dcterms:modified xsi:type="dcterms:W3CDTF">2015-05-03T18:24:00Z</dcterms:modified>
</cp:coreProperties>
</file>