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99" w:rsidRDefault="00DD1A99" w:rsidP="0024178C">
      <w:pPr>
        <w:spacing w:after="0" w:line="360" w:lineRule="auto"/>
        <w:rPr>
          <w:rFonts w:ascii="Times New Roman" w:hAnsi="Times New Roman"/>
          <w:b/>
          <w:sz w:val="24"/>
          <w:szCs w:val="24"/>
        </w:rPr>
      </w:pPr>
      <w:r>
        <w:rPr>
          <w:rFonts w:ascii="Times New Roman" w:hAnsi="Times New Roman"/>
          <w:b/>
          <w:sz w:val="24"/>
          <w:szCs w:val="24"/>
        </w:rPr>
        <w:t>CRAIG — Computational</w:t>
      </w:r>
    </w:p>
    <w:p w:rsidR="00DD1A99" w:rsidRDefault="00DD1A99" w:rsidP="0024178C">
      <w:pPr>
        <w:spacing w:after="0" w:line="360" w:lineRule="auto"/>
        <w:rPr>
          <w:rFonts w:ascii="Times New Roman" w:hAnsi="Times New Roman"/>
          <w:sz w:val="24"/>
          <w:szCs w:val="24"/>
        </w:rPr>
      </w:pPr>
      <w:r>
        <w:rPr>
          <w:rFonts w:ascii="Times New Roman" w:hAnsi="Times New Roman"/>
          <w:sz w:val="24"/>
          <w:szCs w:val="24"/>
        </w:rPr>
        <w:t>&lt;0 figures&gt;</w:t>
      </w:r>
    </w:p>
    <w:p w:rsidR="00DD1A99" w:rsidRDefault="00DD1A99" w:rsidP="0024178C">
      <w:pPr>
        <w:spacing w:after="0" w:line="360" w:lineRule="auto"/>
        <w:rPr>
          <w:rFonts w:ascii="Times New Roman" w:hAnsi="Times New Roman"/>
          <w:sz w:val="24"/>
          <w:szCs w:val="24"/>
        </w:rPr>
      </w:pPr>
    </w:p>
    <w:p w:rsidR="00DD1A99" w:rsidRPr="00C456B3" w:rsidRDefault="00DD1A99" w:rsidP="0024178C">
      <w:pPr>
        <w:spacing w:after="0" w:line="360" w:lineRule="auto"/>
        <w:rPr>
          <w:rFonts w:ascii="Times New Roman" w:hAnsi="Times New Roman"/>
          <w:sz w:val="24"/>
          <w:szCs w:val="24"/>
        </w:rPr>
      </w:pPr>
    </w:p>
    <w:p w:rsidR="00DD1A99" w:rsidRDefault="00DD1A99" w:rsidP="0024178C">
      <w:pPr>
        <w:spacing w:after="0" w:line="360" w:lineRule="auto"/>
        <w:rPr>
          <w:rFonts w:ascii="Times New Roman" w:hAnsi="Times New Roman"/>
          <w:b/>
          <w:sz w:val="24"/>
          <w:szCs w:val="24"/>
        </w:rPr>
      </w:pPr>
      <w:r w:rsidRPr="00EF7905">
        <w:rPr>
          <w:rFonts w:ascii="Times New Roman" w:hAnsi="Times New Roman"/>
          <w:b/>
          <w:sz w:val="24"/>
          <w:szCs w:val="24"/>
        </w:rPr>
        <w:t>A Computational Bibliography of Two Plays from the Shakespeare Folio</w:t>
      </w:r>
    </w:p>
    <w:p w:rsidR="00DD1A99" w:rsidRDefault="00DD1A99" w:rsidP="0024178C">
      <w:pPr>
        <w:spacing w:after="0" w:line="360" w:lineRule="auto"/>
        <w:rPr>
          <w:rFonts w:ascii="Times New Roman" w:hAnsi="Times New Roman"/>
          <w:sz w:val="24"/>
          <w:szCs w:val="24"/>
        </w:rPr>
      </w:pPr>
      <w:r>
        <w:rPr>
          <w:rFonts w:ascii="Times New Roman" w:hAnsi="Times New Roman"/>
          <w:sz w:val="24"/>
          <w:szCs w:val="24"/>
        </w:rPr>
        <w:t>Craig, H.</w:t>
      </w:r>
    </w:p>
    <w:p w:rsidR="00DD1A99" w:rsidRPr="00EF7905" w:rsidRDefault="00DD1A99" w:rsidP="0024178C">
      <w:pPr>
        <w:spacing w:after="0" w:line="360" w:lineRule="auto"/>
        <w:rPr>
          <w:rFonts w:ascii="Times New Roman" w:hAnsi="Times New Roman"/>
          <w:sz w:val="24"/>
          <w:szCs w:val="24"/>
        </w:rPr>
      </w:pPr>
    </w:p>
    <w:p w:rsidR="00DD1A99" w:rsidRPr="0014140A" w:rsidRDefault="00DD1A99" w:rsidP="0024178C">
      <w:pPr>
        <w:spacing w:after="0" w:line="360" w:lineRule="auto"/>
        <w:rPr>
          <w:rFonts w:ascii="Times New Roman" w:hAnsi="Times New Roman"/>
          <w:sz w:val="24"/>
          <w:szCs w:val="24"/>
        </w:rPr>
      </w:pPr>
      <w:r w:rsidRPr="00205098">
        <w:rPr>
          <w:rFonts w:ascii="Times New Roman" w:hAnsi="Times New Roman"/>
          <w:sz w:val="24"/>
          <w:szCs w:val="24"/>
        </w:rPr>
        <w:t xml:space="preserve">The 1623 </w:t>
      </w:r>
      <w:r>
        <w:rPr>
          <w:rFonts w:ascii="Times New Roman" w:hAnsi="Times New Roman"/>
          <w:sz w:val="24"/>
          <w:szCs w:val="24"/>
        </w:rPr>
        <w:t>Shakespeare Folio</w:t>
      </w:r>
      <w:r w:rsidRPr="00205098">
        <w:rPr>
          <w:rFonts w:ascii="Times New Roman" w:hAnsi="Times New Roman"/>
          <w:sz w:val="24"/>
          <w:szCs w:val="24"/>
        </w:rPr>
        <w:t xml:space="preserve"> may well be the most important single book we have for the study of literature in English.</w:t>
      </w:r>
      <w:r>
        <w:rPr>
          <w:rFonts w:ascii="Times New Roman" w:hAnsi="Times New Roman"/>
          <w:sz w:val="24"/>
          <w:szCs w:val="24"/>
        </w:rPr>
        <w:t xml:space="preserve"> </w:t>
      </w:r>
      <w:r w:rsidRPr="00205098">
        <w:rPr>
          <w:rFonts w:ascii="Times New Roman" w:hAnsi="Times New Roman"/>
          <w:sz w:val="24"/>
          <w:szCs w:val="24"/>
        </w:rPr>
        <w:t xml:space="preserve">It </w:t>
      </w:r>
      <w:r>
        <w:rPr>
          <w:rFonts w:ascii="Times New Roman" w:hAnsi="Times New Roman"/>
          <w:sz w:val="24"/>
          <w:szCs w:val="24"/>
        </w:rPr>
        <w:t xml:space="preserve">contains </w:t>
      </w:r>
      <w:r w:rsidR="00081DE6">
        <w:rPr>
          <w:rFonts w:ascii="Times New Roman" w:hAnsi="Times New Roman"/>
          <w:sz w:val="24"/>
          <w:szCs w:val="24"/>
        </w:rPr>
        <w:t>18</w:t>
      </w:r>
      <w:r w:rsidRPr="00205098">
        <w:rPr>
          <w:rFonts w:ascii="Times New Roman" w:hAnsi="Times New Roman"/>
          <w:sz w:val="24"/>
          <w:szCs w:val="24"/>
        </w:rPr>
        <w:t xml:space="preserve"> plays </w:t>
      </w:r>
      <w:r>
        <w:rPr>
          <w:rFonts w:ascii="Times New Roman" w:hAnsi="Times New Roman"/>
          <w:sz w:val="24"/>
          <w:szCs w:val="24"/>
        </w:rPr>
        <w:t>that</w:t>
      </w:r>
      <w:r w:rsidRPr="00205098">
        <w:rPr>
          <w:rFonts w:ascii="Times New Roman" w:hAnsi="Times New Roman"/>
          <w:sz w:val="24"/>
          <w:szCs w:val="24"/>
        </w:rPr>
        <w:t xml:space="preserve"> do not survive anywhere else, </w:t>
      </w:r>
      <w:r w:rsidRPr="00205098">
        <w:rPr>
          <w:rFonts w:ascii="Times New Roman" w:hAnsi="Times New Roman"/>
          <w:i/>
          <w:sz w:val="24"/>
          <w:szCs w:val="24"/>
        </w:rPr>
        <w:t>Macbeth</w:t>
      </w:r>
      <w:r w:rsidRPr="00205098">
        <w:rPr>
          <w:rFonts w:ascii="Times New Roman" w:hAnsi="Times New Roman"/>
          <w:sz w:val="24"/>
          <w:szCs w:val="24"/>
        </w:rPr>
        <w:t xml:space="preserve">, </w:t>
      </w:r>
      <w:r w:rsidRPr="00205098">
        <w:rPr>
          <w:rFonts w:ascii="Times New Roman" w:hAnsi="Times New Roman"/>
          <w:i/>
          <w:sz w:val="24"/>
          <w:szCs w:val="24"/>
        </w:rPr>
        <w:t>Twelfth Night</w:t>
      </w:r>
      <w:r>
        <w:rPr>
          <w:rFonts w:ascii="Times New Roman" w:hAnsi="Times New Roman"/>
          <w:sz w:val="24"/>
          <w:szCs w:val="24"/>
        </w:rPr>
        <w:t xml:space="preserve">, </w:t>
      </w:r>
      <w:r w:rsidRPr="00205098">
        <w:rPr>
          <w:rFonts w:ascii="Times New Roman" w:hAnsi="Times New Roman"/>
          <w:sz w:val="24"/>
          <w:szCs w:val="24"/>
        </w:rPr>
        <w:t xml:space="preserve">and </w:t>
      </w:r>
      <w:r w:rsidRPr="00205098">
        <w:rPr>
          <w:rFonts w:ascii="Times New Roman" w:hAnsi="Times New Roman"/>
          <w:i/>
          <w:sz w:val="24"/>
          <w:szCs w:val="24"/>
        </w:rPr>
        <w:t>Julius Caesar</w:t>
      </w:r>
      <w:r w:rsidRPr="00205098">
        <w:rPr>
          <w:rFonts w:ascii="Times New Roman" w:hAnsi="Times New Roman"/>
          <w:sz w:val="24"/>
          <w:szCs w:val="24"/>
        </w:rPr>
        <w:t xml:space="preserve"> among them</w:t>
      </w:r>
      <w:r>
        <w:rPr>
          <w:rFonts w:ascii="Times New Roman" w:hAnsi="Times New Roman"/>
          <w:sz w:val="24"/>
          <w:szCs w:val="24"/>
        </w:rPr>
        <w:t>, and includes</w:t>
      </w:r>
      <w:r w:rsidRPr="00205098">
        <w:rPr>
          <w:rFonts w:ascii="Times New Roman" w:hAnsi="Times New Roman"/>
          <w:sz w:val="24"/>
          <w:szCs w:val="24"/>
        </w:rPr>
        <w:t xml:space="preserve"> what are generally held to be superior texts of </w:t>
      </w:r>
      <w:r w:rsidR="00081DE6">
        <w:rPr>
          <w:rFonts w:ascii="Times New Roman" w:hAnsi="Times New Roman"/>
          <w:sz w:val="24"/>
          <w:szCs w:val="24"/>
        </w:rPr>
        <w:t>18</w:t>
      </w:r>
      <w:r w:rsidRPr="00205098">
        <w:rPr>
          <w:rFonts w:ascii="Times New Roman" w:hAnsi="Times New Roman"/>
          <w:sz w:val="24"/>
          <w:szCs w:val="24"/>
        </w:rPr>
        <w:t xml:space="preserve"> plays by Shakespeare </w:t>
      </w:r>
      <w:r>
        <w:rPr>
          <w:rFonts w:ascii="Times New Roman" w:hAnsi="Times New Roman"/>
          <w:sz w:val="24"/>
          <w:szCs w:val="24"/>
        </w:rPr>
        <w:t xml:space="preserve">that </w:t>
      </w:r>
      <w:r w:rsidRPr="00205098">
        <w:rPr>
          <w:rFonts w:ascii="Times New Roman" w:hAnsi="Times New Roman"/>
          <w:sz w:val="24"/>
          <w:szCs w:val="24"/>
        </w:rPr>
        <w:t>had already been printed, or at least valuable alternative texts</w:t>
      </w:r>
      <w:r>
        <w:rPr>
          <w:rFonts w:ascii="Times New Roman" w:hAnsi="Times New Roman"/>
          <w:sz w:val="24"/>
          <w:szCs w:val="24"/>
        </w:rPr>
        <w:t xml:space="preserve"> for them. </w:t>
      </w:r>
    </w:p>
    <w:p w:rsidR="00DD1A99" w:rsidRDefault="00DD1A99" w:rsidP="0024178C">
      <w:pPr>
        <w:spacing w:after="0" w:line="360" w:lineRule="auto"/>
        <w:ind w:firstLine="720"/>
        <w:rPr>
          <w:rFonts w:ascii="Times New Roman" w:hAnsi="Times New Roman"/>
          <w:sz w:val="24"/>
          <w:szCs w:val="24"/>
        </w:rPr>
      </w:pPr>
      <w:r w:rsidRPr="00205098">
        <w:rPr>
          <w:rFonts w:ascii="Times New Roman" w:hAnsi="Times New Roman"/>
          <w:sz w:val="24"/>
          <w:szCs w:val="24"/>
        </w:rPr>
        <w:t xml:space="preserve">Establishing sound texts for the plays continues to occupy the attention of a large group of scholars worldwide, with new editions appearing every few years. </w:t>
      </w:r>
      <w:r>
        <w:rPr>
          <w:rFonts w:ascii="Times New Roman" w:hAnsi="Times New Roman"/>
          <w:sz w:val="24"/>
          <w:szCs w:val="24"/>
        </w:rPr>
        <w:t xml:space="preserve">Where multiple varying early texts exist, choices must be made, but this can only be done if we understand the patterns of transmission that gave rise to them—their bibliography. This remains a problem because the plays were printed in a marketplace where copyright was vested in printers rather than authors, and was in any case not well developed, and no one in the chain extending from authors to book buyers was concerned with keeping records for posterity. Work on these problems goes back to the 18th century, and we now know a lot about theatres, companies, writers, printers, booksellers, and book buyers in general, but in the form of general tendencies, not hard-and-fast rules, and rarely enough about particular cases. Here we are compelled to rely on scanty documentary evidence, extended with ingenious speculation, guided by general knowledge of the practices of the day, and on close scrutiny of particular passages. </w:t>
      </w:r>
    </w:p>
    <w:p w:rsidR="00DD1A99" w:rsidRDefault="00DD1A99" w:rsidP="0024178C">
      <w:pPr>
        <w:spacing w:after="0" w:line="360" w:lineRule="auto"/>
        <w:ind w:firstLine="720"/>
        <w:rPr>
          <w:rFonts w:ascii="Times New Roman" w:hAnsi="Times New Roman"/>
          <w:sz w:val="24"/>
          <w:szCs w:val="24"/>
        </w:rPr>
      </w:pPr>
      <w:r>
        <w:rPr>
          <w:rFonts w:ascii="Times New Roman" w:hAnsi="Times New Roman"/>
          <w:sz w:val="24"/>
          <w:szCs w:val="24"/>
        </w:rPr>
        <w:t xml:space="preserve">The paper will introduce a new line of evidence about the bibliography of these plays from computational stylistics. The methods are comparative and cumulative, subject to the checks against bias and the estimates of underlying reliability provided by statistical models. This provides ways of arbitrating between existing explanations, and some entirely new perspectives as well, such as systematically comparing degrees of likeness between versions. </w:t>
      </w:r>
    </w:p>
    <w:p w:rsidR="00DD1A99" w:rsidRDefault="00DD1A99" w:rsidP="0024178C">
      <w:pPr>
        <w:spacing w:after="0" w:line="360" w:lineRule="auto"/>
        <w:ind w:firstLine="720"/>
        <w:rPr>
          <w:rFonts w:ascii="Times New Roman" w:hAnsi="Times New Roman"/>
          <w:sz w:val="24"/>
          <w:szCs w:val="24"/>
        </w:rPr>
      </w:pPr>
      <w:r>
        <w:rPr>
          <w:rFonts w:ascii="Times New Roman" w:hAnsi="Times New Roman"/>
          <w:sz w:val="24"/>
          <w:szCs w:val="24"/>
        </w:rPr>
        <w:t>The oldest and perhaps still dominant theory about the place of the Folio in the Shakespeare textual constellation is that</w:t>
      </w:r>
      <w:r w:rsidRPr="00205098">
        <w:rPr>
          <w:rFonts w:ascii="Times New Roman" w:hAnsi="Times New Roman"/>
          <w:sz w:val="24"/>
          <w:szCs w:val="24"/>
        </w:rPr>
        <w:t xml:space="preserve"> </w:t>
      </w:r>
      <w:r>
        <w:rPr>
          <w:rFonts w:ascii="Times New Roman" w:hAnsi="Times New Roman"/>
          <w:sz w:val="24"/>
          <w:szCs w:val="24"/>
        </w:rPr>
        <w:t>the compilers of the volume</w:t>
      </w:r>
      <w:r w:rsidRPr="00205098">
        <w:rPr>
          <w:rFonts w:ascii="Times New Roman" w:hAnsi="Times New Roman"/>
          <w:sz w:val="24"/>
          <w:szCs w:val="24"/>
        </w:rPr>
        <w:t xml:space="preserve">, </w:t>
      </w:r>
      <w:r>
        <w:rPr>
          <w:rFonts w:ascii="Times New Roman" w:hAnsi="Times New Roman"/>
          <w:sz w:val="24"/>
          <w:szCs w:val="24"/>
        </w:rPr>
        <w:t>John Heminges and Henry Condell—</w:t>
      </w:r>
      <w:r w:rsidRPr="00205098">
        <w:rPr>
          <w:rFonts w:ascii="Times New Roman" w:hAnsi="Times New Roman"/>
          <w:sz w:val="24"/>
          <w:szCs w:val="24"/>
        </w:rPr>
        <w:t>close associates of Shakespeare,</w:t>
      </w:r>
      <w:r>
        <w:rPr>
          <w:rFonts w:ascii="Times New Roman" w:hAnsi="Times New Roman"/>
          <w:sz w:val="24"/>
          <w:szCs w:val="24"/>
        </w:rPr>
        <w:t xml:space="preserve"> and both mentioned in his will—</w:t>
      </w:r>
      <w:r w:rsidRPr="00205098">
        <w:rPr>
          <w:rFonts w:ascii="Times New Roman" w:hAnsi="Times New Roman"/>
          <w:sz w:val="24"/>
          <w:szCs w:val="24"/>
        </w:rPr>
        <w:t xml:space="preserve">were able to collect fair-copy authorial manuscripts of the plays for </w:t>
      </w:r>
      <w:r>
        <w:rPr>
          <w:rFonts w:ascii="Times New Roman" w:hAnsi="Times New Roman"/>
          <w:sz w:val="24"/>
          <w:szCs w:val="24"/>
        </w:rPr>
        <w:t>their venture</w:t>
      </w:r>
      <w:r w:rsidRPr="00205098">
        <w:rPr>
          <w:rFonts w:ascii="Times New Roman" w:hAnsi="Times New Roman"/>
          <w:sz w:val="24"/>
          <w:szCs w:val="24"/>
        </w:rPr>
        <w:t>.</w:t>
      </w:r>
      <w:r>
        <w:rPr>
          <w:rFonts w:ascii="Times New Roman" w:hAnsi="Times New Roman"/>
          <w:sz w:val="24"/>
          <w:szCs w:val="24"/>
        </w:rPr>
        <w:t xml:space="preserve"> Heminges and </w:t>
      </w:r>
      <w:r>
        <w:rPr>
          <w:rFonts w:ascii="Times New Roman" w:hAnsi="Times New Roman"/>
          <w:sz w:val="24"/>
          <w:szCs w:val="24"/>
        </w:rPr>
        <w:lastRenderedPageBreak/>
        <w:t>Condell</w:t>
      </w:r>
      <w:r w:rsidRPr="00205098">
        <w:rPr>
          <w:rFonts w:ascii="Times New Roman" w:hAnsi="Times New Roman"/>
          <w:sz w:val="24"/>
          <w:szCs w:val="24"/>
        </w:rPr>
        <w:t xml:space="preserve"> in the preface to the Folio</w:t>
      </w:r>
      <w:r>
        <w:rPr>
          <w:rFonts w:ascii="Times New Roman" w:hAnsi="Times New Roman"/>
          <w:sz w:val="24"/>
          <w:szCs w:val="24"/>
        </w:rPr>
        <w:t xml:space="preserve"> contend</w:t>
      </w:r>
      <w:r w:rsidRPr="00205098">
        <w:rPr>
          <w:rFonts w:ascii="Times New Roman" w:hAnsi="Times New Roman"/>
          <w:sz w:val="24"/>
          <w:szCs w:val="24"/>
        </w:rPr>
        <w:t xml:space="preserve"> that earlier versions were nothing but</w:t>
      </w:r>
      <w:r>
        <w:rPr>
          <w:rFonts w:ascii="Times New Roman" w:hAnsi="Times New Roman"/>
          <w:sz w:val="24"/>
          <w:szCs w:val="24"/>
        </w:rPr>
        <w:t xml:space="preserve"> ‘</w:t>
      </w:r>
      <w:r w:rsidRPr="00205098">
        <w:rPr>
          <w:rFonts w:ascii="Times New Roman" w:hAnsi="Times New Roman"/>
          <w:sz w:val="24"/>
          <w:szCs w:val="24"/>
        </w:rPr>
        <w:t>diuerse stolne and surreptitious copies, maimed, and deformed by frauds and stealthes of iniurious impostors</w:t>
      </w:r>
      <w:r>
        <w:rPr>
          <w:rFonts w:ascii="Times New Roman" w:hAnsi="Times New Roman"/>
          <w:sz w:val="24"/>
          <w:szCs w:val="24"/>
        </w:rPr>
        <w:t>’,</w:t>
      </w:r>
      <w:r w:rsidRPr="00205098">
        <w:rPr>
          <w:rFonts w:ascii="Times New Roman" w:hAnsi="Times New Roman"/>
          <w:sz w:val="24"/>
          <w:szCs w:val="24"/>
        </w:rPr>
        <w:t xml:space="preserve"> whereas </w:t>
      </w:r>
      <w:r>
        <w:rPr>
          <w:rFonts w:ascii="Times New Roman" w:hAnsi="Times New Roman"/>
          <w:sz w:val="24"/>
          <w:szCs w:val="24"/>
        </w:rPr>
        <w:t xml:space="preserve">in their volume, </w:t>
      </w:r>
      <w:r w:rsidRPr="00205098">
        <w:rPr>
          <w:rFonts w:ascii="Times New Roman" w:hAnsi="Times New Roman"/>
          <w:sz w:val="24"/>
          <w:szCs w:val="24"/>
        </w:rPr>
        <w:t>Shak</w:t>
      </w:r>
      <w:r>
        <w:rPr>
          <w:rFonts w:ascii="Times New Roman" w:hAnsi="Times New Roman"/>
          <w:sz w:val="24"/>
          <w:szCs w:val="24"/>
        </w:rPr>
        <w:t>espeare’s works are</w:t>
      </w:r>
      <w:r w:rsidRPr="00205098">
        <w:rPr>
          <w:rFonts w:ascii="Times New Roman" w:hAnsi="Times New Roman"/>
          <w:sz w:val="24"/>
          <w:szCs w:val="24"/>
        </w:rPr>
        <w:t xml:space="preserve"> </w:t>
      </w:r>
      <w:r>
        <w:rPr>
          <w:rFonts w:ascii="Times New Roman" w:hAnsi="Times New Roman"/>
          <w:sz w:val="24"/>
          <w:szCs w:val="24"/>
        </w:rPr>
        <w:t>‘</w:t>
      </w:r>
      <w:r w:rsidR="00081DE6">
        <w:rPr>
          <w:rFonts w:ascii="Times New Roman" w:hAnsi="Times New Roman"/>
          <w:sz w:val="24"/>
          <w:szCs w:val="24"/>
        </w:rPr>
        <w:t>offer’</w:t>
      </w:r>
      <w:r w:rsidRPr="00205098">
        <w:rPr>
          <w:rFonts w:ascii="Times New Roman" w:hAnsi="Times New Roman"/>
          <w:sz w:val="24"/>
          <w:szCs w:val="24"/>
        </w:rPr>
        <w:t>d to your view cured, and perfect of their limbes; and all the rest, absolute in their numbers as he conceived them</w:t>
      </w:r>
      <w:r>
        <w:rPr>
          <w:rFonts w:ascii="Times New Roman" w:hAnsi="Times New Roman"/>
          <w:sz w:val="24"/>
          <w:szCs w:val="24"/>
        </w:rPr>
        <w:t>’.</w:t>
      </w:r>
    </w:p>
    <w:p w:rsidR="00DD1A99" w:rsidRDefault="00DD1A99" w:rsidP="0024178C">
      <w:pPr>
        <w:spacing w:after="0" w:line="360" w:lineRule="auto"/>
        <w:ind w:firstLine="720"/>
        <w:rPr>
          <w:rFonts w:ascii="Times New Roman" w:hAnsi="Times New Roman"/>
          <w:sz w:val="24"/>
          <w:szCs w:val="24"/>
        </w:rPr>
      </w:pPr>
      <w:r>
        <w:rPr>
          <w:rFonts w:ascii="Times New Roman" w:hAnsi="Times New Roman"/>
          <w:sz w:val="24"/>
          <w:szCs w:val="24"/>
        </w:rPr>
        <w:t>Many scholars have followed Heminges and Condell’s lead on the illegitimacy of</w:t>
      </w:r>
      <w:r w:rsidRPr="00205098">
        <w:rPr>
          <w:rFonts w:ascii="Times New Roman" w:hAnsi="Times New Roman"/>
          <w:sz w:val="24"/>
          <w:szCs w:val="24"/>
        </w:rPr>
        <w:t xml:space="preserve"> quarto versions of the plays</w:t>
      </w:r>
      <w:r>
        <w:rPr>
          <w:rFonts w:ascii="Times New Roman" w:hAnsi="Times New Roman"/>
          <w:sz w:val="24"/>
          <w:szCs w:val="24"/>
        </w:rPr>
        <w:t>, arguing that these texts</w:t>
      </w:r>
      <w:r w:rsidRPr="00205098">
        <w:rPr>
          <w:rFonts w:ascii="Times New Roman" w:hAnsi="Times New Roman"/>
          <w:sz w:val="24"/>
          <w:szCs w:val="24"/>
        </w:rPr>
        <w:t xml:space="preserve"> derive from actors or audience</w:t>
      </w:r>
      <w:r>
        <w:rPr>
          <w:rFonts w:ascii="Times New Roman" w:hAnsi="Times New Roman"/>
          <w:sz w:val="24"/>
          <w:szCs w:val="24"/>
        </w:rPr>
        <w:t xml:space="preserve"> members reconstructing dialogue</w:t>
      </w:r>
      <w:r w:rsidRPr="00205098">
        <w:rPr>
          <w:rFonts w:ascii="Times New Roman" w:hAnsi="Times New Roman"/>
          <w:sz w:val="24"/>
          <w:szCs w:val="24"/>
        </w:rPr>
        <w:t xml:space="preserve"> from memory or from shorthand notes.</w:t>
      </w:r>
      <w:r>
        <w:rPr>
          <w:rFonts w:ascii="Times New Roman" w:hAnsi="Times New Roman"/>
          <w:sz w:val="24"/>
          <w:szCs w:val="24"/>
        </w:rPr>
        <w:t xml:space="preserve"> Others have proposed</w:t>
      </w:r>
      <w:r w:rsidRPr="00114859">
        <w:rPr>
          <w:rFonts w:ascii="Times New Roman" w:hAnsi="Times New Roman"/>
          <w:sz w:val="24"/>
          <w:szCs w:val="24"/>
        </w:rPr>
        <w:t xml:space="preserve"> that the non-Folio versions are distinct early autho</w:t>
      </w:r>
      <w:r>
        <w:rPr>
          <w:rFonts w:ascii="Times New Roman" w:hAnsi="Times New Roman"/>
          <w:sz w:val="24"/>
          <w:szCs w:val="24"/>
        </w:rPr>
        <w:t>rial versions,</w:t>
      </w:r>
      <w:r w:rsidRPr="00114859">
        <w:rPr>
          <w:rFonts w:ascii="Times New Roman" w:hAnsi="Times New Roman"/>
          <w:sz w:val="24"/>
          <w:szCs w:val="24"/>
        </w:rPr>
        <w:t xml:space="preserve"> pirated manuscript copies</w:t>
      </w:r>
      <w:r>
        <w:rPr>
          <w:rFonts w:ascii="Times New Roman" w:hAnsi="Times New Roman"/>
          <w:sz w:val="24"/>
          <w:szCs w:val="24"/>
        </w:rPr>
        <w:t>,</w:t>
      </w:r>
      <w:r w:rsidRPr="00114859">
        <w:rPr>
          <w:rFonts w:ascii="Times New Roman" w:hAnsi="Times New Roman"/>
          <w:sz w:val="24"/>
          <w:szCs w:val="24"/>
        </w:rPr>
        <w:t xml:space="preserve"> acting versions as opposed to the reading versions printed in the Folio</w:t>
      </w:r>
      <w:r>
        <w:rPr>
          <w:rFonts w:ascii="Times New Roman" w:hAnsi="Times New Roman"/>
          <w:sz w:val="24"/>
          <w:szCs w:val="24"/>
        </w:rPr>
        <w:t>,</w:t>
      </w:r>
      <w:r w:rsidRPr="00114859">
        <w:rPr>
          <w:rFonts w:ascii="Times New Roman" w:hAnsi="Times New Roman"/>
          <w:sz w:val="24"/>
          <w:szCs w:val="24"/>
        </w:rPr>
        <w:t xml:space="preserve"> or versions by other dramatists later adapted by Shakespeare for </w:t>
      </w:r>
      <w:r>
        <w:rPr>
          <w:rFonts w:ascii="Times New Roman" w:hAnsi="Times New Roman"/>
          <w:sz w:val="24"/>
          <w:szCs w:val="24"/>
        </w:rPr>
        <w:t>the Folio version. In this paper I focus on two of the Folio plays with earlier printed analogues, applying computational-stylistic methods to test rival theories about the nature of the Folio text and its relationship to earlier versions.</w:t>
      </w:r>
    </w:p>
    <w:p w:rsidR="00DD1A99" w:rsidRDefault="00DD1A99" w:rsidP="0024178C">
      <w:pPr>
        <w:spacing w:after="0" w:line="360" w:lineRule="auto"/>
        <w:ind w:firstLine="720"/>
        <w:rPr>
          <w:rFonts w:ascii="Times New Roman" w:hAnsi="Times New Roman"/>
          <w:sz w:val="24"/>
          <w:szCs w:val="24"/>
        </w:rPr>
      </w:pPr>
      <w:r>
        <w:rPr>
          <w:rFonts w:ascii="Times New Roman" w:hAnsi="Times New Roman"/>
          <w:sz w:val="24"/>
          <w:szCs w:val="24"/>
        </w:rPr>
        <w:t xml:space="preserve">In applying computational stylistics to bibliographical questions in Shakespearean drama the study follows a chapter by Arthur F. Kinney (2009) and a book by </w:t>
      </w:r>
      <w:r w:rsidR="002D2B67">
        <w:rPr>
          <w:rFonts w:ascii="Times New Roman" w:hAnsi="Times New Roman"/>
          <w:sz w:val="24"/>
          <w:szCs w:val="24"/>
        </w:rPr>
        <w:t>Lene B.</w:t>
      </w:r>
      <w:r>
        <w:rPr>
          <w:rFonts w:ascii="Times New Roman" w:hAnsi="Times New Roman"/>
          <w:sz w:val="24"/>
          <w:szCs w:val="24"/>
        </w:rPr>
        <w:t xml:space="preserve"> Petersen (2010). Kinney</w:t>
      </w:r>
      <w:r w:rsidRPr="00114859">
        <w:rPr>
          <w:rFonts w:ascii="Times New Roman" w:hAnsi="Times New Roman"/>
          <w:sz w:val="24"/>
          <w:szCs w:val="24"/>
        </w:rPr>
        <w:t xml:space="preserve"> showed that changes between th</w:t>
      </w:r>
      <w:r>
        <w:rPr>
          <w:rFonts w:ascii="Times New Roman" w:hAnsi="Times New Roman"/>
          <w:sz w:val="24"/>
          <w:szCs w:val="24"/>
        </w:rPr>
        <w:t xml:space="preserve">e Folio and Quarto versions of </w:t>
      </w:r>
      <w:r w:rsidRPr="00CF4F86">
        <w:rPr>
          <w:rFonts w:ascii="Times New Roman" w:hAnsi="Times New Roman"/>
          <w:i/>
          <w:sz w:val="24"/>
          <w:szCs w:val="24"/>
        </w:rPr>
        <w:t>King Lear</w:t>
      </w:r>
      <w:r w:rsidRPr="00114859">
        <w:rPr>
          <w:rFonts w:ascii="Times New Roman" w:hAnsi="Times New Roman"/>
          <w:sz w:val="24"/>
          <w:szCs w:val="24"/>
        </w:rPr>
        <w:t xml:space="preserve"> </w:t>
      </w:r>
      <w:r>
        <w:rPr>
          <w:rFonts w:ascii="Times New Roman" w:hAnsi="Times New Roman"/>
          <w:sz w:val="24"/>
          <w:szCs w:val="24"/>
        </w:rPr>
        <w:t xml:space="preserve">in uses of some alternative forms such as </w:t>
      </w:r>
      <w:r w:rsidRPr="00713371">
        <w:rPr>
          <w:rFonts w:ascii="Times New Roman" w:hAnsi="Times New Roman"/>
          <w:i/>
          <w:sz w:val="24"/>
          <w:szCs w:val="24"/>
        </w:rPr>
        <w:t>which</w:t>
      </w:r>
      <w:r>
        <w:rPr>
          <w:rFonts w:ascii="Times New Roman" w:hAnsi="Times New Roman"/>
          <w:sz w:val="24"/>
          <w:szCs w:val="24"/>
        </w:rPr>
        <w:t xml:space="preserve"> and </w:t>
      </w:r>
      <w:r w:rsidRPr="00713371">
        <w:rPr>
          <w:rFonts w:ascii="Times New Roman" w:hAnsi="Times New Roman"/>
          <w:i/>
          <w:sz w:val="24"/>
          <w:szCs w:val="24"/>
        </w:rPr>
        <w:t>that</w:t>
      </w:r>
      <w:r>
        <w:rPr>
          <w:rFonts w:ascii="Times New Roman" w:hAnsi="Times New Roman"/>
          <w:sz w:val="24"/>
          <w:szCs w:val="24"/>
        </w:rPr>
        <w:t xml:space="preserve"> </w:t>
      </w:r>
      <w:r w:rsidRPr="00114859">
        <w:rPr>
          <w:rFonts w:ascii="Times New Roman" w:hAnsi="Times New Roman"/>
          <w:sz w:val="24"/>
          <w:szCs w:val="24"/>
        </w:rPr>
        <w:t>were persistent and consistent, indicating close and purposeful revision, most likely authorial. This finding supports the most significant proposal in Shakespeare textual studies of the past 50 years, the separation o</w:t>
      </w:r>
      <w:r>
        <w:rPr>
          <w:rFonts w:ascii="Times New Roman" w:hAnsi="Times New Roman"/>
          <w:sz w:val="24"/>
          <w:szCs w:val="24"/>
        </w:rPr>
        <w:t xml:space="preserve">f Quarto and Folio versions of </w:t>
      </w:r>
      <w:r w:rsidRPr="00CF4F86">
        <w:rPr>
          <w:rFonts w:ascii="Times New Roman" w:hAnsi="Times New Roman"/>
          <w:i/>
          <w:sz w:val="24"/>
          <w:szCs w:val="24"/>
        </w:rPr>
        <w:t>King Lear</w:t>
      </w:r>
      <w:r w:rsidRPr="00114859">
        <w:rPr>
          <w:rFonts w:ascii="Times New Roman" w:hAnsi="Times New Roman"/>
          <w:sz w:val="24"/>
          <w:szCs w:val="24"/>
        </w:rPr>
        <w:t xml:space="preserve"> into an early and revised state, challenging the earlier view that these were two partial w</w:t>
      </w:r>
      <w:r>
        <w:rPr>
          <w:rFonts w:ascii="Times New Roman" w:hAnsi="Times New Roman"/>
          <w:sz w:val="24"/>
          <w:szCs w:val="24"/>
        </w:rPr>
        <w:t>itnesses to a single lost original (Taylor and Warren, 1987). Petersen aims to show patterns in some quartos that reflect memorial reconstruction, such as simplification, repetition, and transposition, but as reviews have pointed out, she fails to account for the inherent variability of her data and only rarely offers results that pass significance tests (Egan et al., 2012).</w:t>
      </w:r>
    </w:p>
    <w:p w:rsidR="00DD1A99" w:rsidRDefault="00DD1A99" w:rsidP="0024178C">
      <w:pPr>
        <w:spacing w:after="0" w:line="360" w:lineRule="auto"/>
        <w:ind w:firstLine="720"/>
        <w:rPr>
          <w:rFonts w:ascii="Times New Roman" w:hAnsi="Times New Roman"/>
          <w:i/>
          <w:smallCaps/>
          <w:sz w:val="20"/>
          <w:szCs w:val="24"/>
        </w:rPr>
      </w:pPr>
    </w:p>
    <w:p w:rsidR="00DD1A99" w:rsidRPr="0024178C" w:rsidRDefault="00DD1A99" w:rsidP="0024178C">
      <w:pPr>
        <w:spacing w:after="0" w:line="360" w:lineRule="auto"/>
        <w:rPr>
          <w:rFonts w:ascii="Times New Roman" w:hAnsi="Times New Roman"/>
          <w:b/>
          <w:i/>
          <w:sz w:val="24"/>
          <w:szCs w:val="24"/>
        </w:rPr>
      </w:pPr>
      <w:r w:rsidRPr="0024178C">
        <w:rPr>
          <w:rFonts w:ascii="Times New Roman" w:hAnsi="Times New Roman"/>
          <w:b/>
          <w:i/>
          <w:sz w:val="24"/>
          <w:szCs w:val="24"/>
        </w:rPr>
        <w:t>Henry VI, Part 3</w:t>
      </w:r>
    </w:p>
    <w:p w:rsidR="00DD1A99" w:rsidRDefault="00DD1A99" w:rsidP="0024178C">
      <w:pPr>
        <w:spacing w:after="0" w:line="360" w:lineRule="auto"/>
        <w:rPr>
          <w:rFonts w:ascii="Times New Roman" w:hAnsi="Times New Roman"/>
          <w:sz w:val="24"/>
          <w:szCs w:val="24"/>
        </w:rPr>
      </w:pPr>
      <w:r w:rsidRPr="00205098">
        <w:rPr>
          <w:rFonts w:ascii="Times New Roman" w:hAnsi="Times New Roman"/>
          <w:i/>
          <w:sz w:val="24"/>
          <w:szCs w:val="24"/>
        </w:rPr>
        <w:t>Henry VI, Part 3</w:t>
      </w:r>
      <w:r>
        <w:rPr>
          <w:rFonts w:ascii="Times New Roman" w:hAnsi="Times New Roman"/>
          <w:sz w:val="24"/>
          <w:szCs w:val="24"/>
        </w:rPr>
        <w:t xml:space="preserve"> is one of the more extreme cases of uncertainty in the Shakespeare canon. We have a </w:t>
      </w:r>
      <w:r w:rsidRPr="004053AC">
        <w:rPr>
          <w:rFonts w:ascii="Times New Roman" w:hAnsi="Times New Roman"/>
          <w:sz w:val="24"/>
          <w:szCs w:val="24"/>
        </w:rPr>
        <w:t>prima facie</w:t>
      </w:r>
      <w:r>
        <w:rPr>
          <w:rFonts w:ascii="Times New Roman" w:hAnsi="Times New Roman"/>
          <w:sz w:val="24"/>
          <w:szCs w:val="24"/>
        </w:rPr>
        <w:t xml:space="preserve"> likelihood that Shakespeare was at least one of the authors, given that the play is included in the Folio—titled unequivocally </w:t>
      </w:r>
      <w:r w:rsidRPr="00E85C08">
        <w:rPr>
          <w:rFonts w:ascii="Times New Roman" w:hAnsi="Times New Roman"/>
          <w:i/>
          <w:sz w:val="24"/>
          <w:szCs w:val="24"/>
        </w:rPr>
        <w:t>Mr William Shakespeares Comedies, Histories, &amp; Tragedies</w:t>
      </w:r>
      <w:r>
        <w:rPr>
          <w:rFonts w:ascii="Times New Roman" w:hAnsi="Times New Roman"/>
          <w:sz w:val="24"/>
          <w:szCs w:val="24"/>
        </w:rPr>
        <w:t xml:space="preserve">—but scholars continue to disagree on internal, stylistic grounds about whether he wrote the whole of it, or if only part, which part, and who were his fellow authors. </w:t>
      </w:r>
    </w:p>
    <w:p w:rsidR="00DD1A99" w:rsidRDefault="00DD1A99" w:rsidP="0024178C">
      <w:pPr>
        <w:spacing w:after="0" w:line="360" w:lineRule="auto"/>
        <w:ind w:firstLine="720"/>
        <w:rPr>
          <w:rFonts w:ascii="Times New Roman" w:hAnsi="Times New Roman"/>
          <w:sz w:val="24"/>
          <w:szCs w:val="24"/>
        </w:rPr>
      </w:pPr>
      <w:r>
        <w:rPr>
          <w:rFonts w:ascii="Times New Roman" w:hAnsi="Times New Roman"/>
          <w:sz w:val="24"/>
          <w:szCs w:val="24"/>
        </w:rPr>
        <w:t xml:space="preserve">As well as the Folio </w:t>
      </w:r>
      <w:r w:rsidRPr="00205098">
        <w:rPr>
          <w:rFonts w:ascii="Times New Roman" w:hAnsi="Times New Roman"/>
          <w:sz w:val="24"/>
          <w:szCs w:val="24"/>
        </w:rPr>
        <w:t>we have an early Octavo edition from 1595, which is different enough from the Foli</w:t>
      </w:r>
      <w:r>
        <w:rPr>
          <w:rFonts w:ascii="Times New Roman" w:hAnsi="Times New Roman"/>
          <w:sz w:val="24"/>
          <w:szCs w:val="24"/>
        </w:rPr>
        <w:t>o version to have led some</w:t>
      </w:r>
      <w:r w:rsidRPr="00205098">
        <w:rPr>
          <w:rFonts w:ascii="Times New Roman" w:hAnsi="Times New Roman"/>
          <w:sz w:val="24"/>
          <w:szCs w:val="24"/>
        </w:rPr>
        <w:t xml:space="preserve"> scholars to suggest that it is in fact by a different author, and should be regarded as a source for the Folio rather than an alternative </w:t>
      </w:r>
      <w:r w:rsidRPr="00205098">
        <w:rPr>
          <w:rFonts w:ascii="Times New Roman" w:hAnsi="Times New Roman"/>
          <w:sz w:val="24"/>
          <w:szCs w:val="24"/>
        </w:rPr>
        <w:lastRenderedPageBreak/>
        <w:t>version. Another group of scholars has argued that</w:t>
      </w:r>
      <w:r>
        <w:rPr>
          <w:rFonts w:ascii="Times New Roman" w:hAnsi="Times New Roman"/>
          <w:sz w:val="24"/>
          <w:szCs w:val="24"/>
        </w:rPr>
        <w:t xml:space="preserve"> the Octavo is</w:t>
      </w:r>
      <w:r w:rsidRPr="00205098">
        <w:rPr>
          <w:rFonts w:ascii="Times New Roman" w:hAnsi="Times New Roman"/>
          <w:sz w:val="24"/>
          <w:szCs w:val="24"/>
        </w:rPr>
        <w:t xml:space="preserve"> a memorial reconstruction of the play by actors, whereas the Folio derives from authorial </w:t>
      </w:r>
      <w:r>
        <w:rPr>
          <w:rFonts w:ascii="Times New Roman" w:hAnsi="Times New Roman"/>
          <w:sz w:val="24"/>
          <w:szCs w:val="24"/>
        </w:rPr>
        <w:t>‘</w:t>
      </w:r>
      <w:r w:rsidRPr="00205098">
        <w:rPr>
          <w:rFonts w:ascii="Times New Roman" w:hAnsi="Times New Roman"/>
          <w:sz w:val="24"/>
          <w:szCs w:val="24"/>
        </w:rPr>
        <w:t>foul papers</w:t>
      </w:r>
      <w:r>
        <w:rPr>
          <w:rFonts w:ascii="Times New Roman" w:hAnsi="Times New Roman"/>
          <w:sz w:val="24"/>
          <w:szCs w:val="24"/>
        </w:rPr>
        <w:t>’</w:t>
      </w:r>
      <w:r w:rsidRPr="00205098">
        <w:rPr>
          <w:rFonts w:ascii="Times New Roman" w:hAnsi="Times New Roman"/>
          <w:sz w:val="24"/>
          <w:szCs w:val="24"/>
        </w:rPr>
        <w:t xml:space="preserve"> or working drafts. </w:t>
      </w:r>
      <w:r w:rsidRPr="002E564F">
        <w:rPr>
          <w:rFonts w:ascii="Times New Roman" w:hAnsi="Times New Roman"/>
          <w:sz w:val="24"/>
          <w:szCs w:val="24"/>
        </w:rPr>
        <w:t xml:space="preserve">The latest Arden edition casts doubt on both the memorial construction and the foul papers theories, finding that neither of the two texts altogether </w:t>
      </w:r>
      <w:r w:rsidR="002E564F">
        <w:rPr>
          <w:rFonts w:ascii="Times New Roman" w:hAnsi="Times New Roman"/>
          <w:sz w:val="24"/>
          <w:szCs w:val="24"/>
        </w:rPr>
        <w:t>fits its proposed category</w:t>
      </w:r>
      <w:r w:rsidR="0049227C">
        <w:rPr>
          <w:rFonts w:ascii="Times New Roman" w:hAnsi="Times New Roman"/>
          <w:sz w:val="24"/>
          <w:szCs w:val="24"/>
        </w:rPr>
        <w:t xml:space="preserve"> (Cox and Rasmussen, 2001, 176)</w:t>
      </w:r>
      <w:r w:rsidRPr="002E564F">
        <w:rPr>
          <w:rFonts w:ascii="Times New Roman" w:hAnsi="Times New Roman"/>
          <w:sz w:val="24"/>
          <w:szCs w:val="24"/>
        </w:rPr>
        <w:t>.</w:t>
      </w:r>
      <w:r w:rsidRPr="00205098">
        <w:rPr>
          <w:rFonts w:ascii="Times New Roman" w:hAnsi="Times New Roman"/>
          <w:sz w:val="24"/>
          <w:szCs w:val="24"/>
        </w:rPr>
        <w:t xml:space="preserve"> </w:t>
      </w:r>
    </w:p>
    <w:p w:rsidR="00DD1A99" w:rsidRDefault="00DD1A99" w:rsidP="0024178C">
      <w:pPr>
        <w:spacing w:after="0" w:line="360" w:lineRule="auto"/>
        <w:ind w:firstLine="720"/>
        <w:rPr>
          <w:rFonts w:ascii="Times New Roman" w:hAnsi="Times New Roman"/>
          <w:sz w:val="24"/>
          <w:szCs w:val="24"/>
        </w:rPr>
      </w:pPr>
      <w:r>
        <w:rPr>
          <w:rFonts w:ascii="Times New Roman" w:hAnsi="Times New Roman"/>
          <w:sz w:val="24"/>
          <w:szCs w:val="24"/>
        </w:rPr>
        <w:t xml:space="preserve">I will present findings that the 1595 Octavo is by the same author or authors as the 1623 Folio version, but the nature and extent of the differences vary greatly from act to act, with the two versions of Act IV in particular being as far apart as any two versions of an act of any of the Folio-Quarto pairs tested to date. The first two components of a Principal Component Analysis with very common words as variables and a large background set of plays in segments as observations will be used to establish a two-dimensional space as a basis for calculating distances between different versions of the same act. </w:t>
      </w:r>
    </w:p>
    <w:p w:rsidR="00DD1A99" w:rsidRDefault="00DD1A99" w:rsidP="0024178C">
      <w:pPr>
        <w:spacing w:after="0" w:line="360" w:lineRule="auto"/>
        <w:ind w:firstLine="720"/>
        <w:rPr>
          <w:rFonts w:ascii="Times New Roman" w:hAnsi="Times New Roman"/>
          <w:i/>
          <w:smallCaps/>
          <w:sz w:val="20"/>
          <w:szCs w:val="24"/>
        </w:rPr>
      </w:pPr>
    </w:p>
    <w:p w:rsidR="00DD1A99" w:rsidRPr="0024178C" w:rsidRDefault="00DD1A99" w:rsidP="0024178C">
      <w:pPr>
        <w:spacing w:after="0" w:line="360" w:lineRule="auto"/>
        <w:rPr>
          <w:rFonts w:ascii="Times New Roman" w:hAnsi="Times New Roman"/>
          <w:b/>
          <w:i/>
          <w:sz w:val="24"/>
          <w:szCs w:val="24"/>
        </w:rPr>
      </w:pPr>
      <w:r w:rsidRPr="0024178C">
        <w:rPr>
          <w:rFonts w:ascii="Times New Roman" w:hAnsi="Times New Roman"/>
          <w:b/>
          <w:i/>
          <w:sz w:val="24"/>
          <w:szCs w:val="24"/>
        </w:rPr>
        <w:t>Hamlet</w:t>
      </w:r>
    </w:p>
    <w:p w:rsidR="00DD1A99" w:rsidRDefault="00DD1A99" w:rsidP="0024178C">
      <w:pPr>
        <w:spacing w:after="0" w:line="360" w:lineRule="auto"/>
        <w:rPr>
          <w:rFonts w:ascii="Times New Roman" w:hAnsi="Times New Roman"/>
          <w:color w:val="000000"/>
          <w:sz w:val="24"/>
          <w:szCs w:val="24"/>
        </w:rPr>
      </w:pPr>
      <w:r w:rsidRPr="00205098">
        <w:rPr>
          <w:rFonts w:ascii="Times New Roman" w:hAnsi="Times New Roman"/>
          <w:color w:val="000000"/>
          <w:sz w:val="24"/>
          <w:szCs w:val="24"/>
        </w:rPr>
        <w:t xml:space="preserve">Up to the early </w:t>
      </w:r>
      <w:r w:rsidR="00081DE6">
        <w:rPr>
          <w:rFonts w:ascii="Times New Roman" w:hAnsi="Times New Roman"/>
          <w:color w:val="000000"/>
          <w:sz w:val="24"/>
          <w:szCs w:val="24"/>
        </w:rPr>
        <w:t>19th</w:t>
      </w:r>
      <w:r w:rsidRPr="00205098">
        <w:rPr>
          <w:rFonts w:ascii="Times New Roman" w:hAnsi="Times New Roman"/>
          <w:color w:val="000000"/>
          <w:sz w:val="24"/>
          <w:szCs w:val="24"/>
        </w:rPr>
        <w:t xml:space="preserve"> century</w:t>
      </w:r>
      <w:r w:rsidR="00081DE6">
        <w:rPr>
          <w:rFonts w:ascii="Times New Roman" w:hAnsi="Times New Roman"/>
          <w:color w:val="000000"/>
          <w:sz w:val="24"/>
          <w:szCs w:val="24"/>
        </w:rPr>
        <w:t>,</w:t>
      </w:r>
      <w:r w:rsidRPr="00205098">
        <w:rPr>
          <w:rFonts w:ascii="Times New Roman" w:hAnsi="Times New Roman"/>
          <w:color w:val="000000"/>
          <w:sz w:val="24"/>
          <w:szCs w:val="24"/>
        </w:rPr>
        <w:t xml:space="preserve"> only one Quarto</w:t>
      </w:r>
      <w:r>
        <w:rPr>
          <w:rFonts w:ascii="Times New Roman" w:hAnsi="Times New Roman"/>
          <w:color w:val="000000"/>
          <w:sz w:val="24"/>
          <w:szCs w:val="24"/>
        </w:rPr>
        <w:t xml:space="preserve"> of </w:t>
      </w:r>
      <w:r w:rsidRPr="00D12E39">
        <w:rPr>
          <w:rFonts w:ascii="Times New Roman" w:hAnsi="Times New Roman"/>
          <w:i/>
          <w:color w:val="000000"/>
          <w:sz w:val="24"/>
          <w:szCs w:val="24"/>
        </w:rPr>
        <w:t>Hamlet</w:t>
      </w:r>
      <w:r w:rsidRPr="00205098">
        <w:rPr>
          <w:rFonts w:ascii="Times New Roman" w:hAnsi="Times New Roman"/>
          <w:color w:val="000000"/>
          <w:sz w:val="24"/>
          <w:szCs w:val="24"/>
        </w:rPr>
        <w:t xml:space="preserve"> was known, the one printed in 1604, but in 1823 a second separate printing was discovered, from 1603, half as </w:t>
      </w:r>
      <w:r>
        <w:rPr>
          <w:rFonts w:ascii="Times New Roman" w:hAnsi="Times New Roman"/>
          <w:color w:val="000000"/>
          <w:sz w:val="24"/>
          <w:szCs w:val="24"/>
        </w:rPr>
        <w:t>long as Q2 (1604) but with a hitherto unknown</w:t>
      </w:r>
      <w:r w:rsidRPr="00205098">
        <w:rPr>
          <w:rFonts w:ascii="Times New Roman" w:hAnsi="Times New Roman"/>
          <w:color w:val="000000"/>
          <w:sz w:val="24"/>
          <w:szCs w:val="24"/>
        </w:rPr>
        <w:t xml:space="preserve"> scene and many alternative readings. The consensus view is that this is a memorial reconstruction of the play, but an older view that Q1 represents a much earlier authorial version of the play is revived in a recent book by Terri Bourus. She argues the case from stage history, printing history, and comparative readings of the various versions. </w:t>
      </w:r>
    </w:p>
    <w:p w:rsidR="00DD1A99" w:rsidRDefault="00DD1A99" w:rsidP="0024178C">
      <w:pPr>
        <w:spacing w:after="0" w:line="360" w:lineRule="auto"/>
        <w:ind w:firstLine="720"/>
        <w:rPr>
          <w:rFonts w:ascii="Times New Roman" w:hAnsi="Times New Roman"/>
          <w:color w:val="000000"/>
          <w:sz w:val="24"/>
          <w:szCs w:val="24"/>
        </w:rPr>
      </w:pPr>
      <w:r w:rsidRPr="00205098">
        <w:rPr>
          <w:rFonts w:ascii="Times New Roman" w:hAnsi="Times New Roman"/>
          <w:color w:val="000000"/>
          <w:sz w:val="24"/>
          <w:szCs w:val="24"/>
        </w:rPr>
        <w:t>Computational stylistics offers an opportunity to bring some entirely different evidence to bear. Competing views put the date of composition of Q1 in the late 1580s or the late 1590s. Stylistic analysis is effective in classifying plays by date over this sort of span; the language of the drama changed quickly in this period, consistently and collectively, to the point that plays can be reliably assigned between half-dec</w:t>
      </w:r>
      <w:r>
        <w:rPr>
          <w:rFonts w:ascii="Times New Roman" w:hAnsi="Times New Roman"/>
          <w:color w:val="000000"/>
          <w:sz w:val="24"/>
          <w:szCs w:val="24"/>
        </w:rPr>
        <w:t>ades separated by a half-decade (Craig, 2013)</w:t>
      </w:r>
      <w:r w:rsidRPr="00205098">
        <w:rPr>
          <w:rFonts w:ascii="Times New Roman" w:hAnsi="Times New Roman"/>
          <w:color w:val="000000"/>
          <w:sz w:val="24"/>
          <w:szCs w:val="24"/>
        </w:rPr>
        <w:t>.</w:t>
      </w:r>
      <w:r>
        <w:rPr>
          <w:rFonts w:ascii="Times New Roman" w:hAnsi="Times New Roman"/>
          <w:color w:val="000000"/>
          <w:sz w:val="24"/>
          <w:szCs w:val="24"/>
        </w:rPr>
        <w:t xml:space="preserve"> In later plays, words like </w:t>
      </w:r>
      <w:r w:rsidRPr="00FD35E2">
        <w:rPr>
          <w:rFonts w:ascii="Times New Roman" w:hAnsi="Times New Roman"/>
          <w:i/>
          <w:color w:val="000000"/>
          <w:sz w:val="24"/>
          <w:szCs w:val="24"/>
        </w:rPr>
        <w:t>very</w:t>
      </w:r>
      <w:r>
        <w:rPr>
          <w:rFonts w:ascii="Times New Roman" w:hAnsi="Times New Roman"/>
          <w:color w:val="000000"/>
          <w:sz w:val="24"/>
          <w:szCs w:val="24"/>
        </w:rPr>
        <w:t xml:space="preserve"> and </w:t>
      </w:r>
      <w:r w:rsidRPr="00FD35E2">
        <w:rPr>
          <w:rFonts w:ascii="Times New Roman" w:hAnsi="Times New Roman"/>
          <w:i/>
          <w:color w:val="000000"/>
          <w:sz w:val="24"/>
          <w:szCs w:val="24"/>
        </w:rPr>
        <w:t>most</w:t>
      </w:r>
      <w:r>
        <w:rPr>
          <w:rFonts w:ascii="Times New Roman" w:hAnsi="Times New Roman"/>
          <w:color w:val="000000"/>
          <w:sz w:val="24"/>
          <w:szCs w:val="24"/>
        </w:rPr>
        <w:t xml:space="preserve"> are suddenly more common, as is the indefinite article, and words like </w:t>
      </w:r>
      <w:r w:rsidRPr="00FD35E2">
        <w:rPr>
          <w:rFonts w:ascii="Times New Roman" w:hAnsi="Times New Roman"/>
          <w:i/>
          <w:color w:val="000000"/>
          <w:sz w:val="24"/>
          <w:szCs w:val="24"/>
        </w:rPr>
        <w:t>doth</w:t>
      </w:r>
      <w:r>
        <w:rPr>
          <w:rFonts w:ascii="Times New Roman" w:hAnsi="Times New Roman"/>
          <w:color w:val="000000"/>
          <w:sz w:val="24"/>
          <w:szCs w:val="24"/>
        </w:rPr>
        <w:t xml:space="preserve">, </w:t>
      </w:r>
      <w:r w:rsidRPr="00FD35E2">
        <w:rPr>
          <w:rFonts w:ascii="Times New Roman" w:hAnsi="Times New Roman"/>
          <w:i/>
          <w:color w:val="000000"/>
          <w:sz w:val="24"/>
          <w:szCs w:val="24"/>
        </w:rPr>
        <w:t>hath</w:t>
      </w:r>
      <w:r>
        <w:rPr>
          <w:rFonts w:ascii="Times New Roman" w:hAnsi="Times New Roman"/>
          <w:color w:val="000000"/>
          <w:sz w:val="24"/>
          <w:szCs w:val="24"/>
        </w:rPr>
        <w:t xml:space="preserve">, and </w:t>
      </w:r>
      <w:r w:rsidRPr="00FD35E2">
        <w:rPr>
          <w:rFonts w:ascii="Times New Roman" w:hAnsi="Times New Roman"/>
          <w:i/>
          <w:color w:val="000000"/>
          <w:sz w:val="24"/>
          <w:szCs w:val="24"/>
        </w:rPr>
        <w:t>thou</w:t>
      </w:r>
      <w:r>
        <w:rPr>
          <w:rFonts w:ascii="Times New Roman" w:hAnsi="Times New Roman"/>
          <w:color w:val="000000"/>
          <w:sz w:val="24"/>
          <w:szCs w:val="24"/>
        </w:rPr>
        <w:t xml:space="preserve"> </w:t>
      </w:r>
      <w:r w:rsidR="00081DE6">
        <w:rPr>
          <w:rFonts w:ascii="Times New Roman" w:hAnsi="Times New Roman"/>
          <w:color w:val="000000"/>
          <w:sz w:val="24"/>
          <w:szCs w:val="24"/>
        </w:rPr>
        <w:t xml:space="preserve">forms </w:t>
      </w:r>
      <w:r>
        <w:rPr>
          <w:rFonts w:ascii="Times New Roman" w:hAnsi="Times New Roman"/>
          <w:color w:val="000000"/>
          <w:sz w:val="24"/>
          <w:szCs w:val="24"/>
        </w:rPr>
        <w:t xml:space="preserve">retreat. In this paper I will show the results of dating classification tests with function-words data, lexical-words data, and word n-grams. </w:t>
      </w:r>
    </w:p>
    <w:p w:rsidR="00DD1A99" w:rsidRPr="00205098" w:rsidRDefault="00DD1A99" w:rsidP="0024178C">
      <w:pPr>
        <w:spacing w:after="0" w:line="360" w:lineRule="auto"/>
        <w:ind w:firstLine="720"/>
        <w:rPr>
          <w:rFonts w:ascii="Times New Roman" w:hAnsi="Times New Roman"/>
          <w:color w:val="000000"/>
          <w:sz w:val="24"/>
          <w:szCs w:val="24"/>
        </w:rPr>
      </w:pPr>
      <w:r w:rsidRPr="00205098">
        <w:rPr>
          <w:rFonts w:ascii="Times New Roman" w:hAnsi="Times New Roman"/>
          <w:color w:val="000000"/>
          <w:sz w:val="24"/>
          <w:szCs w:val="24"/>
        </w:rPr>
        <w:t>A late</w:t>
      </w:r>
      <w:r>
        <w:rPr>
          <w:rFonts w:ascii="Times New Roman" w:hAnsi="Times New Roman"/>
          <w:color w:val="000000"/>
          <w:sz w:val="24"/>
          <w:szCs w:val="24"/>
        </w:rPr>
        <w:t xml:space="preserve"> </w:t>
      </w:r>
      <w:r w:rsidRPr="00205098">
        <w:rPr>
          <w:rFonts w:ascii="Times New Roman" w:hAnsi="Times New Roman"/>
          <w:color w:val="000000"/>
          <w:sz w:val="24"/>
          <w:szCs w:val="24"/>
        </w:rPr>
        <w:t xml:space="preserve">1580s date for Q1 would undermine the idea that </w:t>
      </w:r>
      <w:r w:rsidRPr="00205098">
        <w:rPr>
          <w:rFonts w:ascii="Times New Roman" w:hAnsi="Times New Roman"/>
          <w:i/>
          <w:color w:val="000000"/>
          <w:sz w:val="24"/>
          <w:szCs w:val="24"/>
        </w:rPr>
        <w:t>Hamlet</w:t>
      </w:r>
      <w:r>
        <w:rPr>
          <w:rFonts w:ascii="Times New Roman" w:hAnsi="Times New Roman"/>
          <w:color w:val="000000"/>
          <w:sz w:val="24"/>
          <w:szCs w:val="24"/>
        </w:rPr>
        <w:t xml:space="preserve"> is part of the</w:t>
      </w:r>
      <w:r w:rsidRPr="00205098">
        <w:rPr>
          <w:rFonts w:ascii="Times New Roman" w:hAnsi="Times New Roman"/>
          <w:color w:val="000000"/>
          <w:sz w:val="24"/>
          <w:szCs w:val="24"/>
        </w:rPr>
        <w:t xml:space="preserve"> moment of transformation in Shakespeare’</w:t>
      </w:r>
      <w:r>
        <w:rPr>
          <w:rFonts w:ascii="Times New Roman" w:hAnsi="Times New Roman"/>
          <w:color w:val="000000"/>
          <w:sz w:val="24"/>
          <w:szCs w:val="24"/>
        </w:rPr>
        <w:t>s drama in 1599–</w:t>
      </w:r>
      <w:r w:rsidRPr="00205098">
        <w:rPr>
          <w:rFonts w:ascii="Times New Roman" w:hAnsi="Times New Roman"/>
          <w:color w:val="000000"/>
          <w:sz w:val="24"/>
          <w:szCs w:val="24"/>
        </w:rPr>
        <w:t xml:space="preserve">1600, which is central to a number of accounts of his development and of the development of early modern culture more generally (Shapiro, </w:t>
      </w:r>
      <w:r>
        <w:rPr>
          <w:rFonts w:ascii="Times New Roman" w:hAnsi="Times New Roman"/>
          <w:color w:val="000000"/>
          <w:sz w:val="24"/>
          <w:szCs w:val="24"/>
        </w:rPr>
        <w:t xml:space="preserve">2005; </w:t>
      </w:r>
      <w:r w:rsidRPr="00205098">
        <w:rPr>
          <w:rFonts w:ascii="Times New Roman" w:hAnsi="Times New Roman"/>
          <w:color w:val="000000"/>
          <w:sz w:val="24"/>
          <w:szCs w:val="24"/>
        </w:rPr>
        <w:t xml:space="preserve">Bloom, </w:t>
      </w:r>
      <w:r>
        <w:rPr>
          <w:rFonts w:ascii="Times New Roman" w:hAnsi="Times New Roman"/>
          <w:color w:val="000000"/>
          <w:sz w:val="24"/>
          <w:szCs w:val="24"/>
        </w:rPr>
        <w:t xml:space="preserve">1998; </w:t>
      </w:r>
      <w:r w:rsidRPr="00205098">
        <w:rPr>
          <w:rFonts w:ascii="Times New Roman" w:hAnsi="Times New Roman"/>
          <w:color w:val="000000"/>
          <w:sz w:val="24"/>
          <w:szCs w:val="24"/>
        </w:rPr>
        <w:t>Kermode</w:t>
      </w:r>
      <w:r>
        <w:rPr>
          <w:rFonts w:ascii="Times New Roman" w:hAnsi="Times New Roman"/>
          <w:color w:val="000000"/>
          <w:sz w:val="24"/>
          <w:szCs w:val="24"/>
        </w:rPr>
        <w:t>, 2000</w:t>
      </w:r>
      <w:r w:rsidRPr="00205098">
        <w:rPr>
          <w:rFonts w:ascii="Times New Roman" w:hAnsi="Times New Roman"/>
          <w:color w:val="000000"/>
          <w:sz w:val="24"/>
          <w:szCs w:val="24"/>
        </w:rPr>
        <w:t>). A late</w:t>
      </w:r>
      <w:r>
        <w:rPr>
          <w:rFonts w:ascii="Times New Roman" w:hAnsi="Times New Roman"/>
          <w:color w:val="000000"/>
          <w:sz w:val="24"/>
          <w:szCs w:val="24"/>
        </w:rPr>
        <w:t xml:space="preserve"> </w:t>
      </w:r>
      <w:r w:rsidRPr="00205098">
        <w:rPr>
          <w:rFonts w:ascii="Times New Roman" w:hAnsi="Times New Roman"/>
          <w:color w:val="000000"/>
          <w:sz w:val="24"/>
          <w:szCs w:val="24"/>
        </w:rPr>
        <w:t xml:space="preserve">1590s dating would lend weight to the </w:t>
      </w:r>
      <w:r w:rsidRPr="00205098">
        <w:rPr>
          <w:rFonts w:ascii="Times New Roman" w:hAnsi="Times New Roman"/>
          <w:color w:val="000000"/>
          <w:sz w:val="24"/>
          <w:szCs w:val="24"/>
        </w:rPr>
        <w:lastRenderedPageBreak/>
        <w:t xml:space="preserve">idea that an earlier lost version of the Hamlet story existed but by a different author, possibly Thomas Kyd. </w:t>
      </w:r>
    </w:p>
    <w:p w:rsidR="00DD1A99" w:rsidRDefault="00DD1A99" w:rsidP="0024178C">
      <w:pPr>
        <w:spacing w:after="0" w:line="360" w:lineRule="auto"/>
        <w:ind w:firstLine="720"/>
        <w:rPr>
          <w:rFonts w:ascii="Times New Roman" w:hAnsi="Times New Roman"/>
          <w:smallCaps/>
          <w:sz w:val="24"/>
          <w:szCs w:val="24"/>
        </w:rPr>
      </w:pPr>
    </w:p>
    <w:p w:rsidR="00DD1A99" w:rsidRPr="0024178C" w:rsidRDefault="00DD1A99" w:rsidP="0024178C">
      <w:pPr>
        <w:spacing w:after="0" w:line="360" w:lineRule="auto"/>
        <w:rPr>
          <w:rFonts w:ascii="Times New Roman" w:hAnsi="Times New Roman"/>
          <w:b/>
          <w:sz w:val="24"/>
          <w:szCs w:val="24"/>
        </w:rPr>
      </w:pPr>
      <w:r w:rsidRPr="0024178C">
        <w:rPr>
          <w:rFonts w:ascii="Times New Roman" w:hAnsi="Times New Roman"/>
          <w:b/>
          <w:sz w:val="24"/>
          <w:szCs w:val="24"/>
        </w:rPr>
        <w:t>References</w:t>
      </w:r>
    </w:p>
    <w:p w:rsidR="00DD1A99" w:rsidRPr="006842E6"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Bloom, H.</w:t>
      </w:r>
      <w:r w:rsidRPr="006842E6">
        <w:rPr>
          <w:rFonts w:ascii="Times New Roman" w:hAnsi="Times New Roman"/>
          <w:sz w:val="24"/>
          <w:szCs w:val="24"/>
        </w:rPr>
        <w:t xml:space="preserve"> </w:t>
      </w:r>
      <w:r>
        <w:rPr>
          <w:rFonts w:ascii="Times New Roman" w:hAnsi="Times New Roman"/>
          <w:sz w:val="24"/>
          <w:szCs w:val="24"/>
        </w:rPr>
        <w:t xml:space="preserve">(1998). </w:t>
      </w:r>
      <w:r w:rsidRPr="006842E6">
        <w:rPr>
          <w:rFonts w:ascii="Times New Roman" w:hAnsi="Times New Roman"/>
          <w:i/>
          <w:sz w:val="24"/>
          <w:szCs w:val="24"/>
        </w:rPr>
        <w:t>Shakespeare and the Invention of the Human</w:t>
      </w:r>
      <w:r w:rsidRPr="006842E6">
        <w:rPr>
          <w:rFonts w:ascii="Times New Roman" w:hAnsi="Times New Roman"/>
          <w:sz w:val="24"/>
          <w:szCs w:val="24"/>
        </w:rPr>
        <w:t xml:space="preserve">. Riverhead Books, </w:t>
      </w:r>
      <w:r>
        <w:rPr>
          <w:rFonts w:ascii="Times New Roman" w:hAnsi="Times New Roman"/>
          <w:sz w:val="24"/>
          <w:szCs w:val="24"/>
        </w:rPr>
        <w:t>New York</w:t>
      </w:r>
      <w:r w:rsidRPr="006842E6">
        <w:rPr>
          <w:rFonts w:ascii="Times New Roman" w:hAnsi="Times New Roman"/>
          <w:sz w:val="24"/>
          <w:szCs w:val="24"/>
        </w:rPr>
        <w:t>.</w:t>
      </w:r>
    </w:p>
    <w:p w:rsidR="00DD1A99" w:rsidRPr="006842E6"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Bourus, T.</w:t>
      </w:r>
      <w:r w:rsidRPr="006842E6">
        <w:rPr>
          <w:rFonts w:ascii="Times New Roman" w:hAnsi="Times New Roman"/>
          <w:sz w:val="24"/>
          <w:szCs w:val="24"/>
        </w:rPr>
        <w:t xml:space="preserve"> </w:t>
      </w:r>
      <w:r>
        <w:rPr>
          <w:rFonts w:ascii="Times New Roman" w:hAnsi="Times New Roman"/>
          <w:sz w:val="24"/>
          <w:szCs w:val="24"/>
        </w:rPr>
        <w:t xml:space="preserve">(2014). </w:t>
      </w:r>
      <w:r>
        <w:rPr>
          <w:rFonts w:ascii="Times New Roman" w:hAnsi="Times New Roman"/>
          <w:i/>
          <w:sz w:val="24"/>
          <w:szCs w:val="24"/>
        </w:rPr>
        <w:t>Young Shakespeare’</w:t>
      </w:r>
      <w:r w:rsidRPr="006842E6">
        <w:rPr>
          <w:rFonts w:ascii="Times New Roman" w:hAnsi="Times New Roman"/>
          <w:i/>
          <w:sz w:val="24"/>
          <w:szCs w:val="24"/>
        </w:rPr>
        <w:t>s Young Hamlet: Print, Piracy</w:t>
      </w:r>
      <w:r>
        <w:rPr>
          <w:rFonts w:ascii="Times New Roman" w:hAnsi="Times New Roman"/>
          <w:i/>
          <w:sz w:val="24"/>
          <w:szCs w:val="24"/>
        </w:rPr>
        <w:t>,</w:t>
      </w:r>
      <w:r w:rsidRPr="006842E6">
        <w:rPr>
          <w:rFonts w:ascii="Times New Roman" w:hAnsi="Times New Roman"/>
          <w:i/>
          <w:sz w:val="24"/>
          <w:szCs w:val="24"/>
        </w:rPr>
        <w:t xml:space="preserve"> and Performance</w:t>
      </w:r>
      <w:r w:rsidRPr="006842E6">
        <w:rPr>
          <w:rFonts w:ascii="Times New Roman" w:hAnsi="Times New Roman"/>
          <w:sz w:val="24"/>
          <w:szCs w:val="24"/>
        </w:rPr>
        <w:t xml:space="preserve">. Palgrave Macmillan, </w:t>
      </w:r>
      <w:r>
        <w:rPr>
          <w:rFonts w:ascii="Times New Roman" w:hAnsi="Times New Roman"/>
          <w:sz w:val="24"/>
          <w:szCs w:val="24"/>
        </w:rPr>
        <w:t>New York</w:t>
      </w:r>
      <w:r w:rsidRPr="006842E6">
        <w:rPr>
          <w:rFonts w:ascii="Times New Roman" w:hAnsi="Times New Roman"/>
          <w:sz w:val="24"/>
          <w:szCs w:val="24"/>
        </w:rPr>
        <w:t xml:space="preserve">. </w:t>
      </w:r>
    </w:p>
    <w:p w:rsidR="0049227C" w:rsidRPr="0049227C" w:rsidRDefault="0049227C" w:rsidP="0049227C">
      <w:pPr>
        <w:spacing w:after="0" w:line="360" w:lineRule="auto"/>
        <w:rPr>
          <w:rFonts w:ascii="Times New Roman" w:hAnsi="Times New Roman"/>
          <w:sz w:val="24"/>
          <w:szCs w:val="24"/>
        </w:rPr>
      </w:pPr>
      <w:r w:rsidRPr="0049227C">
        <w:rPr>
          <w:rFonts w:ascii="Times New Roman" w:hAnsi="Times New Roman"/>
          <w:b/>
          <w:sz w:val="24"/>
          <w:szCs w:val="24"/>
          <w:shd w:val="clear" w:color="auto" w:fill="FFFFFF"/>
        </w:rPr>
        <w:t>Cox, J. D. and Rasmussen, E.</w:t>
      </w:r>
      <w:r w:rsidRPr="0049227C">
        <w:rPr>
          <w:rFonts w:ascii="Times New Roman" w:hAnsi="Times New Roman"/>
          <w:sz w:val="24"/>
          <w:szCs w:val="24"/>
          <w:shd w:val="clear" w:color="auto" w:fill="FFFFFF"/>
        </w:rPr>
        <w:t xml:space="preserve"> (eds). (2001). </w:t>
      </w:r>
      <w:r w:rsidRPr="0049227C">
        <w:rPr>
          <w:rFonts w:ascii="Times New Roman" w:hAnsi="Times New Roman"/>
          <w:i/>
          <w:sz w:val="24"/>
          <w:szCs w:val="24"/>
          <w:shd w:val="clear" w:color="auto" w:fill="FFFFFF"/>
        </w:rPr>
        <w:t>King Henry VI</w:t>
      </w:r>
      <w:r w:rsidR="00081DE6">
        <w:rPr>
          <w:rFonts w:ascii="Times New Roman" w:hAnsi="Times New Roman"/>
          <w:i/>
          <w:sz w:val="24"/>
          <w:szCs w:val="24"/>
          <w:shd w:val="clear" w:color="auto" w:fill="FFFFFF"/>
        </w:rPr>
        <w:t>,</w:t>
      </w:r>
      <w:r w:rsidRPr="0049227C">
        <w:rPr>
          <w:rFonts w:ascii="Times New Roman" w:hAnsi="Times New Roman"/>
          <w:i/>
          <w:sz w:val="24"/>
          <w:szCs w:val="24"/>
          <w:shd w:val="clear" w:color="auto" w:fill="FFFFFF"/>
        </w:rPr>
        <w:t xml:space="preserve"> Part 3</w:t>
      </w:r>
      <w:r w:rsidRPr="0049227C">
        <w:rPr>
          <w:rFonts w:ascii="Times New Roman" w:hAnsi="Times New Roman"/>
          <w:sz w:val="24"/>
          <w:szCs w:val="24"/>
          <w:shd w:val="clear" w:color="auto" w:fill="FFFFFF"/>
        </w:rPr>
        <w:t xml:space="preserve">. In </w:t>
      </w:r>
      <w:r w:rsidRPr="0049227C">
        <w:rPr>
          <w:rFonts w:ascii="Times New Roman" w:hAnsi="Times New Roman"/>
          <w:i/>
          <w:sz w:val="24"/>
          <w:szCs w:val="24"/>
          <w:shd w:val="clear" w:color="auto" w:fill="FFFFFF"/>
        </w:rPr>
        <w:t>The Arden Shakespeare</w:t>
      </w:r>
      <w:r w:rsidRPr="0049227C">
        <w:rPr>
          <w:rFonts w:ascii="Times New Roman" w:hAnsi="Times New Roman"/>
          <w:sz w:val="24"/>
          <w:szCs w:val="24"/>
          <w:shd w:val="clear" w:color="auto" w:fill="FFFFFF"/>
        </w:rPr>
        <w:t>, 3rd series. Methuen Drama, London.</w:t>
      </w:r>
    </w:p>
    <w:p w:rsidR="00DD1A99"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Craig, H.</w:t>
      </w:r>
      <w:r w:rsidRPr="006842E6">
        <w:rPr>
          <w:rFonts w:ascii="Times New Roman" w:hAnsi="Times New Roman"/>
          <w:sz w:val="24"/>
          <w:szCs w:val="24"/>
        </w:rPr>
        <w:t xml:space="preserve"> </w:t>
      </w:r>
      <w:r>
        <w:rPr>
          <w:rFonts w:ascii="Times New Roman" w:hAnsi="Times New Roman"/>
          <w:sz w:val="24"/>
          <w:szCs w:val="24"/>
        </w:rPr>
        <w:t>(2013). ‘</w:t>
      </w:r>
      <w:r w:rsidRPr="006842E6">
        <w:rPr>
          <w:rFonts w:ascii="Times New Roman" w:hAnsi="Times New Roman"/>
          <w:sz w:val="24"/>
          <w:szCs w:val="24"/>
        </w:rPr>
        <w:t xml:space="preserve">The Date of </w:t>
      </w:r>
      <w:r w:rsidRPr="006842E6">
        <w:rPr>
          <w:rFonts w:ascii="Times New Roman" w:hAnsi="Times New Roman"/>
          <w:i/>
          <w:sz w:val="24"/>
          <w:szCs w:val="24"/>
        </w:rPr>
        <w:t>Sir Thomas More</w:t>
      </w:r>
      <w:r>
        <w:rPr>
          <w:rFonts w:ascii="Times New Roman" w:hAnsi="Times New Roman"/>
          <w:sz w:val="24"/>
          <w:szCs w:val="24"/>
        </w:rPr>
        <w:t>’.</w:t>
      </w:r>
      <w:r w:rsidRPr="006842E6">
        <w:rPr>
          <w:rFonts w:ascii="Times New Roman" w:hAnsi="Times New Roman"/>
          <w:sz w:val="24"/>
          <w:szCs w:val="24"/>
        </w:rPr>
        <w:t xml:space="preserve"> </w:t>
      </w:r>
      <w:r w:rsidRPr="006842E6">
        <w:rPr>
          <w:rFonts w:ascii="Times New Roman" w:hAnsi="Times New Roman"/>
          <w:i/>
          <w:sz w:val="24"/>
          <w:szCs w:val="24"/>
        </w:rPr>
        <w:t>Shakespeare Survey</w:t>
      </w:r>
      <w:r>
        <w:rPr>
          <w:rFonts w:ascii="Times New Roman" w:hAnsi="Times New Roman"/>
          <w:i/>
          <w:sz w:val="24"/>
          <w:szCs w:val="24"/>
        </w:rPr>
        <w:t>,</w:t>
      </w:r>
      <w:r w:rsidRPr="006842E6">
        <w:rPr>
          <w:rFonts w:ascii="Times New Roman" w:hAnsi="Times New Roman"/>
          <w:sz w:val="24"/>
          <w:szCs w:val="24"/>
        </w:rPr>
        <w:t xml:space="preserve"> </w:t>
      </w:r>
      <w:r w:rsidRPr="0024178C">
        <w:rPr>
          <w:rFonts w:ascii="Times New Roman" w:hAnsi="Times New Roman"/>
          <w:b/>
          <w:sz w:val="24"/>
          <w:szCs w:val="24"/>
        </w:rPr>
        <w:t>66</w:t>
      </w:r>
      <w:r w:rsidRPr="006842E6">
        <w:rPr>
          <w:rFonts w:ascii="Times New Roman" w:hAnsi="Times New Roman"/>
          <w:sz w:val="24"/>
          <w:szCs w:val="24"/>
        </w:rPr>
        <w:t>: 38</w:t>
      </w:r>
      <w:r>
        <w:rPr>
          <w:rFonts w:ascii="Times New Roman" w:hAnsi="Times New Roman"/>
          <w:sz w:val="24"/>
          <w:szCs w:val="24"/>
        </w:rPr>
        <w:t>–</w:t>
      </w:r>
      <w:r w:rsidRPr="006842E6">
        <w:rPr>
          <w:rFonts w:ascii="Times New Roman" w:hAnsi="Times New Roman"/>
          <w:sz w:val="24"/>
          <w:szCs w:val="24"/>
        </w:rPr>
        <w:t xml:space="preserve">54. </w:t>
      </w:r>
    </w:p>
    <w:p w:rsidR="00DD1A99" w:rsidRPr="006842E6"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Egan, G., et al.</w:t>
      </w:r>
      <w:r>
        <w:rPr>
          <w:rFonts w:ascii="Times New Roman" w:hAnsi="Times New Roman"/>
          <w:sz w:val="24"/>
          <w:szCs w:val="24"/>
        </w:rPr>
        <w:t xml:space="preserve"> (2012). ‘VI</w:t>
      </w:r>
      <w:r w:rsidRPr="004874AF">
        <w:rPr>
          <w:rFonts w:ascii="Times New Roman" w:hAnsi="Times New Roman"/>
          <w:sz w:val="24"/>
          <w:szCs w:val="24"/>
        </w:rPr>
        <w:t>. Shakespeare</w:t>
      </w:r>
      <w:r>
        <w:rPr>
          <w:rFonts w:ascii="Times New Roman" w:hAnsi="Times New Roman"/>
          <w:sz w:val="24"/>
          <w:szCs w:val="24"/>
        </w:rPr>
        <w:t>’</w:t>
      </w:r>
      <w:r w:rsidRPr="004874AF">
        <w:rPr>
          <w:rFonts w:ascii="Times New Roman" w:hAnsi="Times New Roman"/>
          <w:sz w:val="24"/>
          <w:szCs w:val="24"/>
        </w:rPr>
        <w:t xml:space="preserve">. </w:t>
      </w:r>
      <w:r>
        <w:rPr>
          <w:rFonts w:ascii="Times New Roman" w:hAnsi="Times New Roman"/>
          <w:i/>
          <w:sz w:val="24"/>
          <w:szCs w:val="24"/>
        </w:rPr>
        <w:t>The Year’</w:t>
      </w:r>
      <w:r w:rsidRPr="004874AF">
        <w:rPr>
          <w:rFonts w:ascii="Times New Roman" w:hAnsi="Times New Roman"/>
          <w:i/>
          <w:sz w:val="24"/>
          <w:szCs w:val="24"/>
        </w:rPr>
        <w:t>s Work in English Studies</w:t>
      </w:r>
      <w:r>
        <w:rPr>
          <w:rFonts w:ascii="Times New Roman" w:hAnsi="Times New Roman"/>
          <w:i/>
          <w:sz w:val="24"/>
          <w:szCs w:val="24"/>
        </w:rPr>
        <w:t>,</w:t>
      </w:r>
      <w:r w:rsidRPr="004874AF">
        <w:rPr>
          <w:rFonts w:ascii="Times New Roman" w:hAnsi="Times New Roman"/>
          <w:sz w:val="24"/>
          <w:szCs w:val="24"/>
        </w:rPr>
        <w:t xml:space="preserve"> </w:t>
      </w:r>
      <w:r w:rsidRPr="0024178C">
        <w:rPr>
          <w:rFonts w:ascii="Times New Roman" w:hAnsi="Times New Roman"/>
          <w:b/>
          <w:sz w:val="24"/>
          <w:szCs w:val="24"/>
        </w:rPr>
        <w:t>91</w:t>
      </w:r>
      <w:r w:rsidRPr="004874AF">
        <w:rPr>
          <w:rFonts w:ascii="Times New Roman" w:hAnsi="Times New Roman"/>
          <w:sz w:val="24"/>
          <w:szCs w:val="24"/>
        </w:rPr>
        <w:t>: 328</w:t>
      </w:r>
      <w:r>
        <w:rPr>
          <w:rFonts w:ascii="Times New Roman" w:hAnsi="Times New Roman"/>
          <w:sz w:val="24"/>
          <w:szCs w:val="24"/>
        </w:rPr>
        <w:t>–</w:t>
      </w:r>
      <w:r w:rsidRPr="004874AF">
        <w:rPr>
          <w:rFonts w:ascii="Times New Roman" w:hAnsi="Times New Roman"/>
          <w:sz w:val="24"/>
          <w:szCs w:val="24"/>
        </w:rPr>
        <w:t>507.</w:t>
      </w:r>
    </w:p>
    <w:p w:rsidR="00DD1A99" w:rsidRPr="006842E6"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Kermode, F.</w:t>
      </w:r>
      <w:r w:rsidRPr="006842E6">
        <w:rPr>
          <w:rFonts w:ascii="Times New Roman" w:hAnsi="Times New Roman"/>
          <w:sz w:val="24"/>
          <w:szCs w:val="24"/>
        </w:rPr>
        <w:t xml:space="preserve"> </w:t>
      </w:r>
      <w:r>
        <w:rPr>
          <w:rFonts w:ascii="Times New Roman" w:hAnsi="Times New Roman"/>
          <w:sz w:val="24"/>
          <w:szCs w:val="24"/>
        </w:rPr>
        <w:t xml:space="preserve">(2000). </w:t>
      </w:r>
      <w:r>
        <w:rPr>
          <w:rFonts w:ascii="Times New Roman" w:hAnsi="Times New Roman"/>
          <w:i/>
          <w:sz w:val="24"/>
          <w:szCs w:val="24"/>
        </w:rPr>
        <w:t>Shakespeare’</w:t>
      </w:r>
      <w:r w:rsidRPr="006842E6">
        <w:rPr>
          <w:rFonts w:ascii="Times New Roman" w:hAnsi="Times New Roman"/>
          <w:i/>
          <w:sz w:val="24"/>
          <w:szCs w:val="24"/>
        </w:rPr>
        <w:t>s Language</w:t>
      </w:r>
      <w:r w:rsidRPr="006842E6">
        <w:rPr>
          <w:rFonts w:ascii="Times New Roman" w:hAnsi="Times New Roman"/>
          <w:sz w:val="24"/>
          <w:szCs w:val="24"/>
        </w:rPr>
        <w:t xml:space="preserve">. Allen Lane, </w:t>
      </w:r>
      <w:r>
        <w:rPr>
          <w:rFonts w:ascii="Times New Roman" w:hAnsi="Times New Roman"/>
          <w:sz w:val="24"/>
          <w:szCs w:val="24"/>
        </w:rPr>
        <w:t>London.</w:t>
      </w:r>
    </w:p>
    <w:p w:rsidR="00DD1A99" w:rsidRPr="006842E6"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Kinney, A</w:t>
      </w:r>
      <w:r>
        <w:rPr>
          <w:rFonts w:ascii="Times New Roman" w:hAnsi="Times New Roman"/>
          <w:b/>
          <w:sz w:val="24"/>
          <w:szCs w:val="24"/>
        </w:rPr>
        <w:t xml:space="preserve">. </w:t>
      </w:r>
      <w:r w:rsidRPr="0024178C">
        <w:rPr>
          <w:rFonts w:ascii="Times New Roman" w:hAnsi="Times New Roman"/>
          <w:b/>
          <w:sz w:val="24"/>
          <w:szCs w:val="24"/>
        </w:rPr>
        <w:t>F.</w:t>
      </w:r>
      <w:r w:rsidRPr="006842E6">
        <w:rPr>
          <w:rFonts w:ascii="Times New Roman" w:hAnsi="Times New Roman"/>
          <w:sz w:val="24"/>
          <w:szCs w:val="24"/>
        </w:rPr>
        <w:t xml:space="preserve"> </w:t>
      </w:r>
      <w:r>
        <w:rPr>
          <w:rFonts w:ascii="Times New Roman" w:hAnsi="Times New Roman"/>
          <w:sz w:val="24"/>
          <w:szCs w:val="24"/>
        </w:rPr>
        <w:t>(2009). ‘</w:t>
      </w:r>
      <w:r w:rsidRPr="006842E6">
        <w:rPr>
          <w:rFonts w:ascii="Times New Roman" w:hAnsi="Times New Roman"/>
          <w:sz w:val="24"/>
          <w:szCs w:val="24"/>
        </w:rPr>
        <w:t>Transforming King Lear</w:t>
      </w:r>
      <w:r>
        <w:rPr>
          <w:rFonts w:ascii="Times New Roman" w:hAnsi="Times New Roman"/>
          <w:sz w:val="24"/>
          <w:szCs w:val="24"/>
        </w:rPr>
        <w:t xml:space="preserve">’. In </w:t>
      </w:r>
      <w:r w:rsidRPr="006842E6">
        <w:rPr>
          <w:rFonts w:ascii="Times New Roman" w:hAnsi="Times New Roman"/>
          <w:sz w:val="24"/>
          <w:szCs w:val="24"/>
        </w:rPr>
        <w:t>Craig, H</w:t>
      </w:r>
      <w:r>
        <w:rPr>
          <w:rFonts w:ascii="Times New Roman" w:hAnsi="Times New Roman"/>
          <w:sz w:val="24"/>
          <w:szCs w:val="24"/>
        </w:rPr>
        <w:t xml:space="preserve">., </w:t>
      </w:r>
      <w:r w:rsidRPr="006842E6">
        <w:rPr>
          <w:rFonts w:ascii="Times New Roman" w:hAnsi="Times New Roman"/>
          <w:sz w:val="24"/>
          <w:szCs w:val="24"/>
        </w:rPr>
        <w:t>and Kinney</w:t>
      </w:r>
      <w:r>
        <w:rPr>
          <w:rFonts w:ascii="Times New Roman" w:hAnsi="Times New Roman"/>
          <w:sz w:val="24"/>
          <w:szCs w:val="24"/>
        </w:rPr>
        <w:t xml:space="preserve">, A. F. (eds), </w:t>
      </w:r>
      <w:r w:rsidRPr="006842E6">
        <w:rPr>
          <w:rFonts w:ascii="Times New Roman" w:hAnsi="Times New Roman"/>
          <w:i/>
          <w:sz w:val="24"/>
          <w:szCs w:val="24"/>
        </w:rPr>
        <w:t>Shakespeare, Computers, and the Mystery of Authorship</w:t>
      </w:r>
      <w:r w:rsidRPr="006842E6">
        <w:rPr>
          <w:rFonts w:ascii="Times New Roman" w:hAnsi="Times New Roman"/>
          <w:sz w:val="24"/>
          <w:szCs w:val="24"/>
        </w:rPr>
        <w:t>. Cambridge: Cambridge University Press,</w:t>
      </w:r>
      <w:r>
        <w:rPr>
          <w:rFonts w:ascii="Times New Roman" w:hAnsi="Times New Roman"/>
          <w:sz w:val="24"/>
          <w:szCs w:val="24"/>
        </w:rPr>
        <w:t xml:space="preserve"> </w:t>
      </w:r>
      <w:r w:rsidR="00735D5C">
        <w:rPr>
          <w:rFonts w:ascii="Times New Roman" w:hAnsi="Times New Roman"/>
          <w:sz w:val="24"/>
          <w:szCs w:val="24"/>
        </w:rPr>
        <w:t xml:space="preserve">pp. </w:t>
      </w:r>
      <w:r>
        <w:rPr>
          <w:rFonts w:ascii="Times New Roman" w:hAnsi="Times New Roman"/>
          <w:sz w:val="24"/>
          <w:szCs w:val="24"/>
        </w:rPr>
        <w:t>181–</w:t>
      </w:r>
      <w:r w:rsidRPr="006842E6">
        <w:rPr>
          <w:rFonts w:ascii="Times New Roman" w:hAnsi="Times New Roman"/>
          <w:sz w:val="24"/>
          <w:szCs w:val="24"/>
        </w:rPr>
        <w:t>201.</w:t>
      </w:r>
    </w:p>
    <w:p w:rsidR="00DD1A99" w:rsidRPr="006842E6"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Petersen, L</w:t>
      </w:r>
      <w:r>
        <w:rPr>
          <w:rFonts w:ascii="Times New Roman" w:hAnsi="Times New Roman"/>
          <w:b/>
          <w:sz w:val="24"/>
          <w:szCs w:val="24"/>
        </w:rPr>
        <w:t xml:space="preserve">. </w:t>
      </w:r>
      <w:r w:rsidRPr="0024178C">
        <w:rPr>
          <w:rFonts w:ascii="Times New Roman" w:hAnsi="Times New Roman"/>
          <w:b/>
          <w:sz w:val="24"/>
          <w:szCs w:val="24"/>
        </w:rPr>
        <w:t>B.</w:t>
      </w:r>
      <w:r w:rsidRPr="006842E6">
        <w:rPr>
          <w:rFonts w:ascii="Times New Roman" w:hAnsi="Times New Roman"/>
          <w:sz w:val="24"/>
          <w:szCs w:val="24"/>
        </w:rPr>
        <w:t xml:space="preserve"> </w:t>
      </w:r>
      <w:r>
        <w:rPr>
          <w:rFonts w:ascii="Times New Roman" w:hAnsi="Times New Roman"/>
          <w:sz w:val="24"/>
          <w:szCs w:val="24"/>
        </w:rPr>
        <w:t xml:space="preserve">(2010). </w:t>
      </w:r>
      <w:r>
        <w:rPr>
          <w:rFonts w:ascii="Times New Roman" w:hAnsi="Times New Roman"/>
          <w:i/>
          <w:sz w:val="24"/>
          <w:szCs w:val="24"/>
        </w:rPr>
        <w:t>Shakespeare’</w:t>
      </w:r>
      <w:r w:rsidRPr="006842E6">
        <w:rPr>
          <w:rFonts w:ascii="Times New Roman" w:hAnsi="Times New Roman"/>
          <w:i/>
          <w:sz w:val="24"/>
          <w:szCs w:val="24"/>
        </w:rPr>
        <w:t>s Errant Texts: Textual Form and Lin</w:t>
      </w:r>
      <w:r>
        <w:rPr>
          <w:rFonts w:ascii="Times New Roman" w:hAnsi="Times New Roman"/>
          <w:i/>
          <w:sz w:val="24"/>
          <w:szCs w:val="24"/>
        </w:rPr>
        <w:t>guistic Style in Shakespearean ‘</w:t>
      </w:r>
      <w:r w:rsidRPr="006842E6">
        <w:rPr>
          <w:rFonts w:ascii="Times New Roman" w:hAnsi="Times New Roman"/>
          <w:i/>
          <w:sz w:val="24"/>
          <w:szCs w:val="24"/>
        </w:rPr>
        <w:t>Bad</w:t>
      </w:r>
      <w:r>
        <w:rPr>
          <w:rFonts w:ascii="Times New Roman" w:hAnsi="Times New Roman"/>
          <w:i/>
          <w:sz w:val="24"/>
          <w:szCs w:val="24"/>
        </w:rPr>
        <w:t>’</w:t>
      </w:r>
      <w:r w:rsidRPr="006842E6">
        <w:rPr>
          <w:rFonts w:ascii="Times New Roman" w:hAnsi="Times New Roman"/>
          <w:i/>
          <w:sz w:val="24"/>
          <w:szCs w:val="24"/>
        </w:rPr>
        <w:t xml:space="preserve"> Quartos and Co-Authored Plays</w:t>
      </w:r>
      <w:r w:rsidRPr="006842E6">
        <w:rPr>
          <w:rFonts w:ascii="Times New Roman" w:hAnsi="Times New Roman"/>
          <w:sz w:val="24"/>
          <w:szCs w:val="24"/>
        </w:rPr>
        <w:t>. Cambridge University Press,</w:t>
      </w:r>
      <w:r>
        <w:rPr>
          <w:rFonts w:ascii="Times New Roman" w:hAnsi="Times New Roman"/>
          <w:sz w:val="24"/>
          <w:szCs w:val="24"/>
        </w:rPr>
        <w:t xml:space="preserve"> Cambridge.</w:t>
      </w:r>
      <w:r w:rsidRPr="006842E6">
        <w:rPr>
          <w:rFonts w:ascii="Times New Roman" w:hAnsi="Times New Roman"/>
          <w:sz w:val="24"/>
          <w:szCs w:val="24"/>
        </w:rPr>
        <w:t xml:space="preserve"> </w:t>
      </w:r>
    </w:p>
    <w:p w:rsidR="00DD1A99"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Shakespeare, W</w:t>
      </w:r>
      <w:r>
        <w:rPr>
          <w:rFonts w:ascii="Times New Roman" w:hAnsi="Times New Roman"/>
          <w:b/>
          <w:sz w:val="24"/>
          <w:szCs w:val="24"/>
        </w:rPr>
        <w:t>.</w:t>
      </w:r>
      <w:r w:rsidRPr="006842E6">
        <w:rPr>
          <w:rFonts w:ascii="Times New Roman" w:hAnsi="Times New Roman"/>
          <w:sz w:val="24"/>
          <w:szCs w:val="24"/>
        </w:rPr>
        <w:t xml:space="preserve"> </w:t>
      </w:r>
      <w:r>
        <w:rPr>
          <w:rFonts w:ascii="Times New Roman" w:hAnsi="Times New Roman"/>
          <w:sz w:val="24"/>
          <w:szCs w:val="24"/>
        </w:rPr>
        <w:t xml:space="preserve">(1623). </w:t>
      </w:r>
      <w:r w:rsidRPr="006842E6">
        <w:rPr>
          <w:rFonts w:ascii="Times New Roman" w:hAnsi="Times New Roman"/>
          <w:i/>
          <w:sz w:val="24"/>
          <w:szCs w:val="24"/>
        </w:rPr>
        <w:t>Mr William Shakespeares Comedies, Histories, &amp; Tragedies</w:t>
      </w:r>
      <w:r w:rsidRPr="006842E6">
        <w:rPr>
          <w:rFonts w:ascii="Times New Roman" w:hAnsi="Times New Roman"/>
          <w:sz w:val="24"/>
          <w:szCs w:val="24"/>
        </w:rPr>
        <w:t>. London.</w:t>
      </w:r>
    </w:p>
    <w:p w:rsidR="00DD1A99" w:rsidRPr="006842E6" w:rsidRDefault="00DD1A99" w:rsidP="0024178C">
      <w:pPr>
        <w:spacing w:after="0" w:line="360" w:lineRule="auto"/>
        <w:rPr>
          <w:rFonts w:ascii="Times New Roman" w:hAnsi="Times New Roman"/>
          <w:sz w:val="24"/>
          <w:szCs w:val="24"/>
        </w:rPr>
      </w:pPr>
      <w:r>
        <w:rPr>
          <w:rFonts w:ascii="Times New Roman" w:hAnsi="Times New Roman"/>
          <w:b/>
          <w:sz w:val="24"/>
          <w:szCs w:val="24"/>
        </w:rPr>
        <w:t>Shapiro, J</w:t>
      </w:r>
      <w:r w:rsidRPr="0024178C">
        <w:rPr>
          <w:rFonts w:ascii="Times New Roman" w:hAnsi="Times New Roman"/>
          <w:b/>
          <w:sz w:val="24"/>
          <w:szCs w:val="24"/>
        </w:rPr>
        <w:t>.</w:t>
      </w:r>
      <w:r w:rsidRPr="00022626">
        <w:rPr>
          <w:rFonts w:ascii="Times New Roman" w:hAnsi="Times New Roman"/>
          <w:sz w:val="24"/>
          <w:szCs w:val="24"/>
        </w:rPr>
        <w:t xml:space="preserve"> </w:t>
      </w:r>
      <w:r>
        <w:rPr>
          <w:rFonts w:ascii="Times New Roman" w:hAnsi="Times New Roman"/>
          <w:sz w:val="24"/>
          <w:szCs w:val="24"/>
        </w:rPr>
        <w:t xml:space="preserve">(2005). </w:t>
      </w:r>
      <w:r w:rsidRPr="00022626">
        <w:rPr>
          <w:rFonts w:ascii="Times New Roman" w:hAnsi="Times New Roman"/>
          <w:i/>
          <w:sz w:val="24"/>
          <w:szCs w:val="24"/>
        </w:rPr>
        <w:t>1599: A Year in the Life of William Shakespeare</w:t>
      </w:r>
      <w:r w:rsidRPr="00022626">
        <w:rPr>
          <w:rFonts w:ascii="Times New Roman" w:hAnsi="Times New Roman"/>
          <w:sz w:val="24"/>
          <w:szCs w:val="24"/>
        </w:rPr>
        <w:t xml:space="preserve">. Faber, </w:t>
      </w:r>
      <w:r>
        <w:rPr>
          <w:rFonts w:ascii="Times New Roman" w:hAnsi="Times New Roman"/>
          <w:sz w:val="24"/>
          <w:szCs w:val="24"/>
        </w:rPr>
        <w:t>London</w:t>
      </w:r>
      <w:r w:rsidRPr="00022626">
        <w:rPr>
          <w:rFonts w:ascii="Times New Roman" w:hAnsi="Times New Roman"/>
          <w:sz w:val="24"/>
          <w:szCs w:val="24"/>
        </w:rPr>
        <w:t>.</w:t>
      </w:r>
    </w:p>
    <w:p w:rsidR="00DD1A99" w:rsidRPr="006842E6" w:rsidRDefault="00DD1A99" w:rsidP="0024178C">
      <w:pPr>
        <w:spacing w:after="0" w:line="360" w:lineRule="auto"/>
        <w:rPr>
          <w:rFonts w:ascii="Times New Roman" w:hAnsi="Times New Roman"/>
          <w:sz w:val="24"/>
          <w:szCs w:val="24"/>
        </w:rPr>
      </w:pPr>
      <w:r w:rsidRPr="0024178C">
        <w:rPr>
          <w:rFonts w:ascii="Times New Roman" w:hAnsi="Times New Roman"/>
          <w:b/>
          <w:sz w:val="24"/>
          <w:szCs w:val="24"/>
        </w:rPr>
        <w:t>Taylor, G</w:t>
      </w:r>
      <w:r>
        <w:rPr>
          <w:rFonts w:ascii="Times New Roman" w:hAnsi="Times New Roman"/>
          <w:b/>
          <w:sz w:val="24"/>
          <w:szCs w:val="24"/>
        </w:rPr>
        <w:t xml:space="preserve">. and </w:t>
      </w:r>
      <w:r w:rsidRPr="0024178C">
        <w:rPr>
          <w:rFonts w:ascii="Times New Roman" w:hAnsi="Times New Roman"/>
          <w:b/>
          <w:sz w:val="24"/>
          <w:szCs w:val="24"/>
        </w:rPr>
        <w:t>Warren, M</w:t>
      </w:r>
      <w:r>
        <w:rPr>
          <w:rFonts w:ascii="Times New Roman" w:hAnsi="Times New Roman"/>
          <w:b/>
          <w:sz w:val="24"/>
          <w:szCs w:val="24"/>
        </w:rPr>
        <w:t xml:space="preserve">. </w:t>
      </w:r>
      <w:r>
        <w:rPr>
          <w:rFonts w:ascii="Times New Roman" w:hAnsi="Times New Roman"/>
          <w:sz w:val="24"/>
          <w:szCs w:val="24"/>
        </w:rPr>
        <w:t>(</w:t>
      </w:r>
      <w:r w:rsidRPr="006842E6">
        <w:rPr>
          <w:rFonts w:ascii="Times New Roman" w:hAnsi="Times New Roman"/>
          <w:sz w:val="24"/>
          <w:szCs w:val="24"/>
        </w:rPr>
        <w:t>eds</w:t>
      </w:r>
      <w:r>
        <w:rPr>
          <w:rFonts w:ascii="Times New Roman" w:hAnsi="Times New Roman"/>
          <w:sz w:val="24"/>
          <w:szCs w:val="24"/>
        </w:rPr>
        <w:t>)</w:t>
      </w:r>
      <w:r w:rsidRPr="006842E6">
        <w:rPr>
          <w:rFonts w:ascii="Times New Roman" w:hAnsi="Times New Roman"/>
          <w:sz w:val="24"/>
          <w:szCs w:val="24"/>
        </w:rPr>
        <w:t>.</w:t>
      </w:r>
      <w:r>
        <w:rPr>
          <w:rFonts w:ascii="Times New Roman" w:hAnsi="Times New Roman"/>
          <w:sz w:val="24"/>
          <w:szCs w:val="24"/>
        </w:rPr>
        <w:t xml:space="preserve"> (1987).</w:t>
      </w:r>
      <w:r w:rsidRPr="006842E6">
        <w:rPr>
          <w:rFonts w:ascii="Times New Roman" w:hAnsi="Times New Roman"/>
          <w:sz w:val="24"/>
          <w:szCs w:val="24"/>
        </w:rPr>
        <w:t xml:space="preserve"> </w:t>
      </w:r>
      <w:r w:rsidRPr="006842E6">
        <w:rPr>
          <w:rFonts w:ascii="Times New Roman" w:hAnsi="Times New Roman"/>
          <w:i/>
          <w:sz w:val="24"/>
          <w:szCs w:val="24"/>
        </w:rPr>
        <w:t>The Divisi</w:t>
      </w:r>
      <w:r>
        <w:rPr>
          <w:rFonts w:ascii="Times New Roman" w:hAnsi="Times New Roman"/>
          <w:i/>
          <w:sz w:val="24"/>
          <w:szCs w:val="24"/>
        </w:rPr>
        <w:t>on of the Kingdoms: Shakespeare’s Two Versions of ‘</w:t>
      </w:r>
      <w:r w:rsidRPr="006842E6">
        <w:rPr>
          <w:rFonts w:ascii="Times New Roman" w:hAnsi="Times New Roman"/>
          <w:i/>
          <w:sz w:val="24"/>
          <w:szCs w:val="24"/>
        </w:rPr>
        <w:t>King Lear</w:t>
      </w:r>
      <w:r>
        <w:rPr>
          <w:rFonts w:ascii="Times New Roman" w:hAnsi="Times New Roman"/>
          <w:i/>
          <w:sz w:val="24"/>
          <w:szCs w:val="24"/>
        </w:rPr>
        <w:t>’</w:t>
      </w:r>
      <w:r w:rsidRPr="006842E6">
        <w:rPr>
          <w:rFonts w:ascii="Times New Roman" w:hAnsi="Times New Roman"/>
          <w:sz w:val="24"/>
          <w:szCs w:val="24"/>
        </w:rPr>
        <w:t>. Oxford</w:t>
      </w:r>
      <w:r>
        <w:rPr>
          <w:rFonts w:ascii="Times New Roman" w:hAnsi="Times New Roman"/>
          <w:sz w:val="24"/>
          <w:szCs w:val="24"/>
        </w:rPr>
        <w:t xml:space="preserve"> University Press, Oxford.</w:t>
      </w:r>
      <w:r w:rsidR="00BF18FF">
        <w:rPr>
          <w:rFonts w:ascii="Times New Roman" w:hAnsi="Times New Roman"/>
          <w:sz w:val="24"/>
          <w:szCs w:val="24"/>
        </w:rPr>
        <w:t xml:space="preserve"> </w:t>
      </w:r>
      <w:bookmarkStart w:id="0" w:name="_GoBack"/>
      <w:bookmarkEnd w:id="0"/>
    </w:p>
    <w:p w:rsidR="00DD1A99" w:rsidRDefault="00DD1A99" w:rsidP="0024178C">
      <w:pPr>
        <w:spacing w:after="0" w:line="360" w:lineRule="auto"/>
        <w:rPr>
          <w:rFonts w:ascii="Times New Roman" w:hAnsi="Times New Roman"/>
          <w:sz w:val="24"/>
          <w:szCs w:val="24"/>
        </w:rPr>
      </w:pPr>
    </w:p>
    <w:p w:rsidR="00DD1A99" w:rsidRDefault="00DD1A99" w:rsidP="0024178C">
      <w:pPr>
        <w:spacing w:after="0" w:line="360" w:lineRule="auto"/>
        <w:ind w:firstLine="720"/>
        <w:rPr>
          <w:rFonts w:ascii="Times New Roman" w:hAnsi="Times New Roman"/>
          <w:sz w:val="24"/>
          <w:szCs w:val="24"/>
        </w:rPr>
      </w:pPr>
    </w:p>
    <w:p w:rsidR="00DD1A99" w:rsidRDefault="00DD1A99" w:rsidP="0024178C">
      <w:pPr>
        <w:spacing w:after="0" w:line="360" w:lineRule="auto"/>
        <w:ind w:firstLine="720"/>
        <w:rPr>
          <w:rFonts w:ascii="Times New Roman" w:hAnsi="Times New Roman"/>
          <w:sz w:val="24"/>
          <w:szCs w:val="24"/>
        </w:rPr>
      </w:pPr>
    </w:p>
    <w:sectPr w:rsidR="00DD1A99" w:rsidSect="00E0500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52A" w:rsidRDefault="00C9252A" w:rsidP="0076629A">
      <w:pPr>
        <w:spacing w:after="0" w:line="240" w:lineRule="auto"/>
      </w:pPr>
      <w:r>
        <w:separator/>
      </w:r>
    </w:p>
  </w:endnote>
  <w:endnote w:type="continuationSeparator" w:id="0">
    <w:p w:rsidR="00C9252A" w:rsidRDefault="00C9252A" w:rsidP="0076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A99" w:rsidRDefault="00DD1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A99" w:rsidRDefault="00833F91">
    <w:pPr>
      <w:pStyle w:val="Footer"/>
      <w:jc w:val="center"/>
    </w:pPr>
    <w:r>
      <w:fldChar w:fldCharType="begin"/>
    </w:r>
    <w:r>
      <w:instrText xml:space="preserve"> PAGE   \* MERGEFORMAT </w:instrText>
    </w:r>
    <w:r>
      <w:fldChar w:fldCharType="separate"/>
    </w:r>
    <w:r w:rsidR="00BF18FF">
      <w:rPr>
        <w:noProof/>
      </w:rPr>
      <w:t>4</w:t>
    </w:r>
    <w:r>
      <w:rPr>
        <w:noProof/>
      </w:rPr>
      <w:fldChar w:fldCharType="end"/>
    </w:r>
  </w:p>
  <w:p w:rsidR="00DD1A99" w:rsidRDefault="00DD1A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A99" w:rsidRDefault="00DD1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52A" w:rsidRDefault="00C9252A" w:rsidP="0076629A">
      <w:pPr>
        <w:spacing w:after="0" w:line="240" w:lineRule="auto"/>
      </w:pPr>
      <w:r>
        <w:separator/>
      </w:r>
    </w:p>
  </w:footnote>
  <w:footnote w:type="continuationSeparator" w:id="0">
    <w:p w:rsidR="00C9252A" w:rsidRDefault="00C9252A" w:rsidP="00766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A99" w:rsidRDefault="00DD1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A99" w:rsidRDefault="00DD1A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A99" w:rsidRDefault="00DD1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D3D8B"/>
    <w:multiLevelType w:val="multilevel"/>
    <w:tmpl w:val="6EF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24053"/>
    <w:multiLevelType w:val="multilevel"/>
    <w:tmpl w:val="FDE4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346"/>
    <w:rsid w:val="000019D7"/>
    <w:rsid w:val="00004998"/>
    <w:rsid w:val="00006120"/>
    <w:rsid w:val="00022626"/>
    <w:rsid w:val="00081DE6"/>
    <w:rsid w:val="000A403B"/>
    <w:rsid w:val="000B35B2"/>
    <w:rsid w:val="000B7388"/>
    <w:rsid w:val="000C58EE"/>
    <w:rsid w:val="000D3BA8"/>
    <w:rsid w:val="000F197E"/>
    <w:rsid w:val="00110681"/>
    <w:rsid w:val="00114859"/>
    <w:rsid w:val="00134346"/>
    <w:rsid w:val="0014140A"/>
    <w:rsid w:val="0014503B"/>
    <w:rsid w:val="001509AA"/>
    <w:rsid w:val="0016217D"/>
    <w:rsid w:val="0016324D"/>
    <w:rsid w:val="00185425"/>
    <w:rsid w:val="001B1623"/>
    <w:rsid w:val="001B2526"/>
    <w:rsid w:val="001B60B0"/>
    <w:rsid w:val="001D058B"/>
    <w:rsid w:val="001D66B8"/>
    <w:rsid w:val="00205098"/>
    <w:rsid w:val="00221292"/>
    <w:rsid w:val="0024178C"/>
    <w:rsid w:val="00271A01"/>
    <w:rsid w:val="002831E7"/>
    <w:rsid w:val="002A78C7"/>
    <w:rsid w:val="002B5FDE"/>
    <w:rsid w:val="002D2144"/>
    <w:rsid w:val="002D2B67"/>
    <w:rsid w:val="002E564F"/>
    <w:rsid w:val="002E5838"/>
    <w:rsid w:val="00311D27"/>
    <w:rsid w:val="00330E2D"/>
    <w:rsid w:val="00343C7F"/>
    <w:rsid w:val="0035792E"/>
    <w:rsid w:val="003A7180"/>
    <w:rsid w:val="003B189F"/>
    <w:rsid w:val="003B3EEA"/>
    <w:rsid w:val="003C0C72"/>
    <w:rsid w:val="003C2052"/>
    <w:rsid w:val="003C494A"/>
    <w:rsid w:val="004053AC"/>
    <w:rsid w:val="00452001"/>
    <w:rsid w:val="0047626B"/>
    <w:rsid w:val="004874AF"/>
    <w:rsid w:val="0049227C"/>
    <w:rsid w:val="00492FA6"/>
    <w:rsid w:val="004B2C29"/>
    <w:rsid w:val="004C74C3"/>
    <w:rsid w:val="004D4232"/>
    <w:rsid w:val="00504563"/>
    <w:rsid w:val="00515009"/>
    <w:rsid w:val="00526F16"/>
    <w:rsid w:val="00527623"/>
    <w:rsid w:val="00532B11"/>
    <w:rsid w:val="005554A7"/>
    <w:rsid w:val="005654CE"/>
    <w:rsid w:val="00570909"/>
    <w:rsid w:val="005728F3"/>
    <w:rsid w:val="005940D9"/>
    <w:rsid w:val="00594541"/>
    <w:rsid w:val="005A20FD"/>
    <w:rsid w:val="005A37DA"/>
    <w:rsid w:val="005B3B90"/>
    <w:rsid w:val="005B3F9E"/>
    <w:rsid w:val="005B7B78"/>
    <w:rsid w:val="005D14D4"/>
    <w:rsid w:val="00600963"/>
    <w:rsid w:val="00605BBB"/>
    <w:rsid w:val="00613D92"/>
    <w:rsid w:val="00616346"/>
    <w:rsid w:val="006260F9"/>
    <w:rsid w:val="00626B9E"/>
    <w:rsid w:val="00634E7D"/>
    <w:rsid w:val="00663429"/>
    <w:rsid w:val="00676DC7"/>
    <w:rsid w:val="006842E6"/>
    <w:rsid w:val="006E30C3"/>
    <w:rsid w:val="006F4B4D"/>
    <w:rsid w:val="00710969"/>
    <w:rsid w:val="00713371"/>
    <w:rsid w:val="00715C0E"/>
    <w:rsid w:val="00720806"/>
    <w:rsid w:val="00735D5C"/>
    <w:rsid w:val="0074340E"/>
    <w:rsid w:val="007532C5"/>
    <w:rsid w:val="00761C94"/>
    <w:rsid w:val="0076629A"/>
    <w:rsid w:val="007A0599"/>
    <w:rsid w:val="007D7DCE"/>
    <w:rsid w:val="007E3A98"/>
    <w:rsid w:val="007E71A2"/>
    <w:rsid w:val="007F3C74"/>
    <w:rsid w:val="00802A0E"/>
    <w:rsid w:val="00810991"/>
    <w:rsid w:val="008156A9"/>
    <w:rsid w:val="008231D0"/>
    <w:rsid w:val="00833F91"/>
    <w:rsid w:val="008749DA"/>
    <w:rsid w:val="008A2285"/>
    <w:rsid w:val="008E4236"/>
    <w:rsid w:val="009011C9"/>
    <w:rsid w:val="00903596"/>
    <w:rsid w:val="0092198E"/>
    <w:rsid w:val="009467B3"/>
    <w:rsid w:val="00956C20"/>
    <w:rsid w:val="00960DD1"/>
    <w:rsid w:val="009753C4"/>
    <w:rsid w:val="009A0ACE"/>
    <w:rsid w:val="009B158A"/>
    <w:rsid w:val="00A021D0"/>
    <w:rsid w:val="00A10ECB"/>
    <w:rsid w:val="00A17251"/>
    <w:rsid w:val="00A41E95"/>
    <w:rsid w:val="00A42825"/>
    <w:rsid w:val="00A470F6"/>
    <w:rsid w:val="00A862BC"/>
    <w:rsid w:val="00A90145"/>
    <w:rsid w:val="00A928A2"/>
    <w:rsid w:val="00A954EA"/>
    <w:rsid w:val="00AB1EE4"/>
    <w:rsid w:val="00AB2A2E"/>
    <w:rsid w:val="00AC18CA"/>
    <w:rsid w:val="00AD0B34"/>
    <w:rsid w:val="00AF2CFC"/>
    <w:rsid w:val="00AF5F53"/>
    <w:rsid w:val="00B05F78"/>
    <w:rsid w:val="00B33CEE"/>
    <w:rsid w:val="00B77DF1"/>
    <w:rsid w:val="00BB724B"/>
    <w:rsid w:val="00BC72E7"/>
    <w:rsid w:val="00BC7F21"/>
    <w:rsid w:val="00BD5DF1"/>
    <w:rsid w:val="00BF0D1C"/>
    <w:rsid w:val="00BF18FF"/>
    <w:rsid w:val="00BF2535"/>
    <w:rsid w:val="00C01CC5"/>
    <w:rsid w:val="00C14155"/>
    <w:rsid w:val="00C277A8"/>
    <w:rsid w:val="00C456B3"/>
    <w:rsid w:val="00C71CB0"/>
    <w:rsid w:val="00C74CCC"/>
    <w:rsid w:val="00C80BBE"/>
    <w:rsid w:val="00C9252A"/>
    <w:rsid w:val="00CA2C1B"/>
    <w:rsid w:val="00CB29C5"/>
    <w:rsid w:val="00CC0AAF"/>
    <w:rsid w:val="00CC43C1"/>
    <w:rsid w:val="00CD2255"/>
    <w:rsid w:val="00CF4F86"/>
    <w:rsid w:val="00CF610D"/>
    <w:rsid w:val="00D101FF"/>
    <w:rsid w:val="00D12E39"/>
    <w:rsid w:val="00D13821"/>
    <w:rsid w:val="00D2534D"/>
    <w:rsid w:val="00D36213"/>
    <w:rsid w:val="00D50FE9"/>
    <w:rsid w:val="00D533B2"/>
    <w:rsid w:val="00D55995"/>
    <w:rsid w:val="00D718B9"/>
    <w:rsid w:val="00D750CB"/>
    <w:rsid w:val="00D75F4A"/>
    <w:rsid w:val="00D8748E"/>
    <w:rsid w:val="00DD1A99"/>
    <w:rsid w:val="00DD68EC"/>
    <w:rsid w:val="00DE4E0F"/>
    <w:rsid w:val="00E05002"/>
    <w:rsid w:val="00E10519"/>
    <w:rsid w:val="00E6747B"/>
    <w:rsid w:val="00E85C08"/>
    <w:rsid w:val="00E8705B"/>
    <w:rsid w:val="00E92DCD"/>
    <w:rsid w:val="00E94C72"/>
    <w:rsid w:val="00ED4DC4"/>
    <w:rsid w:val="00EE6D20"/>
    <w:rsid w:val="00EF7905"/>
    <w:rsid w:val="00F34679"/>
    <w:rsid w:val="00F378AF"/>
    <w:rsid w:val="00F65F42"/>
    <w:rsid w:val="00F77F98"/>
    <w:rsid w:val="00F80666"/>
    <w:rsid w:val="00F823E1"/>
    <w:rsid w:val="00FA25E3"/>
    <w:rsid w:val="00FA4DAF"/>
    <w:rsid w:val="00FC0FA7"/>
    <w:rsid w:val="00FC2163"/>
    <w:rsid w:val="00FD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4BC0AE2-CE0E-43EF-9ACF-6B915D83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002"/>
    <w:pPr>
      <w:spacing w:after="200" w:line="276" w:lineRule="auto"/>
    </w:pPr>
    <w:rPr>
      <w:sz w:val="22"/>
      <w:szCs w:val="22"/>
      <w:lang w:val="en-AU"/>
    </w:rPr>
  </w:style>
  <w:style w:type="paragraph" w:styleId="Heading1">
    <w:name w:val="heading 1"/>
    <w:basedOn w:val="Normal"/>
    <w:link w:val="Heading1Char"/>
    <w:uiPriority w:val="99"/>
    <w:qFormat/>
    <w:rsid w:val="00FA25E3"/>
    <w:pPr>
      <w:spacing w:before="100" w:beforeAutospacing="1" w:after="100" w:afterAutospacing="1" w:line="240" w:lineRule="auto"/>
      <w:outlineLvl w:val="0"/>
    </w:pPr>
    <w:rPr>
      <w:rFonts w:ascii="Times New Roman" w:eastAsia="Times New Roman" w:hAnsi="Times New Roman"/>
      <w:b/>
      <w:bCs/>
      <w:kern w:val="36"/>
      <w:sz w:val="48"/>
      <w:szCs w:val="48"/>
      <w:lang w:eastAsia="en-AU"/>
    </w:rPr>
  </w:style>
  <w:style w:type="paragraph" w:styleId="Heading3">
    <w:name w:val="heading 3"/>
    <w:basedOn w:val="Normal"/>
    <w:next w:val="Normal"/>
    <w:link w:val="Heading3Char"/>
    <w:uiPriority w:val="99"/>
    <w:qFormat/>
    <w:rsid w:val="00FA25E3"/>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A25E3"/>
    <w:rPr>
      <w:rFonts w:ascii="Times New Roman" w:hAnsi="Times New Roman" w:cs="Times New Roman"/>
      <w:b/>
      <w:bCs/>
      <w:kern w:val="36"/>
      <w:sz w:val="48"/>
      <w:szCs w:val="48"/>
      <w:lang w:eastAsia="en-AU"/>
    </w:rPr>
  </w:style>
  <w:style w:type="character" w:customStyle="1" w:styleId="Heading3Char">
    <w:name w:val="Heading 3 Char"/>
    <w:link w:val="Heading3"/>
    <w:uiPriority w:val="99"/>
    <w:semiHidden/>
    <w:locked/>
    <w:rsid w:val="00FA25E3"/>
    <w:rPr>
      <w:rFonts w:ascii="Cambria" w:hAnsi="Cambria" w:cs="Times New Roman"/>
      <w:b/>
      <w:bCs/>
      <w:color w:val="4F81BD"/>
    </w:rPr>
  </w:style>
  <w:style w:type="character" w:styleId="Hyperlink">
    <w:name w:val="Hyperlink"/>
    <w:uiPriority w:val="99"/>
    <w:semiHidden/>
    <w:rsid w:val="00FA25E3"/>
    <w:rPr>
      <w:rFonts w:cs="Times New Roman"/>
      <w:color w:val="0000FF"/>
      <w:u w:val="single"/>
    </w:rPr>
  </w:style>
  <w:style w:type="character" w:customStyle="1" w:styleId="text">
    <w:name w:val="text"/>
    <w:uiPriority w:val="99"/>
    <w:rsid w:val="00FA25E3"/>
    <w:rPr>
      <w:rFonts w:cs="Times New Roman"/>
    </w:rPr>
  </w:style>
  <w:style w:type="character" w:customStyle="1" w:styleId="hwsect">
    <w:name w:val="hwsect"/>
    <w:uiPriority w:val="99"/>
    <w:rsid w:val="00FA25E3"/>
    <w:rPr>
      <w:rFonts w:cs="Times New Roman"/>
    </w:rPr>
  </w:style>
  <w:style w:type="character" w:customStyle="1" w:styleId="hw">
    <w:name w:val="hw"/>
    <w:uiPriority w:val="99"/>
    <w:rsid w:val="00FA25E3"/>
    <w:rPr>
      <w:rFonts w:cs="Times New Roman"/>
    </w:rPr>
  </w:style>
  <w:style w:type="character" w:customStyle="1" w:styleId="apple-converted-space">
    <w:name w:val="apple-converted-space"/>
    <w:uiPriority w:val="99"/>
    <w:rsid w:val="00FA25E3"/>
    <w:rPr>
      <w:rFonts w:cs="Times New Roman"/>
    </w:rPr>
  </w:style>
  <w:style w:type="character" w:customStyle="1" w:styleId="ps">
    <w:name w:val="ps"/>
    <w:uiPriority w:val="99"/>
    <w:rsid w:val="00FA25E3"/>
    <w:rPr>
      <w:rFonts w:cs="Times New Roman"/>
    </w:rPr>
  </w:style>
  <w:style w:type="character" w:styleId="Strong">
    <w:name w:val="Strong"/>
    <w:uiPriority w:val="99"/>
    <w:qFormat/>
    <w:rsid w:val="00FA25E3"/>
    <w:rPr>
      <w:rFonts w:cs="Times New Roman"/>
      <w:b/>
      <w:bCs/>
    </w:rPr>
  </w:style>
  <w:style w:type="character" w:customStyle="1" w:styleId="note">
    <w:name w:val="note"/>
    <w:uiPriority w:val="99"/>
    <w:rsid w:val="00FA25E3"/>
    <w:rPr>
      <w:rFonts w:cs="Times New Roman"/>
    </w:rPr>
  </w:style>
  <w:style w:type="character" w:styleId="Emphasis">
    <w:name w:val="Emphasis"/>
    <w:uiPriority w:val="99"/>
    <w:qFormat/>
    <w:rsid w:val="00FA25E3"/>
    <w:rPr>
      <w:rFonts w:cs="Times New Roman"/>
      <w:i/>
      <w:iCs/>
    </w:rPr>
  </w:style>
  <w:style w:type="character" w:customStyle="1" w:styleId="xref">
    <w:name w:val="xref"/>
    <w:uiPriority w:val="99"/>
    <w:rsid w:val="00FA25E3"/>
    <w:rPr>
      <w:rFonts w:cs="Times New Roman"/>
    </w:rPr>
  </w:style>
  <w:style w:type="character" w:customStyle="1" w:styleId="noindent">
    <w:name w:val="noindent"/>
    <w:uiPriority w:val="99"/>
    <w:rsid w:val="00FA25E3"/>
    <w:rPr>
      <w:rFonts w:cs="Times New Roman"/>
    </w:rPr>
  </w:style>
  <w:style w:type="character" w:customStyle="1" w:styleId="smallcaps">
    <w:name w:val="smallcaps"/>
    <w:uiPriority w:val="99"/>
    <w:rsid w:val="00FA25E3"/>
    <w:rPr>
      <w:rFonts w:cs="Times New Roman"/>
    </w:rPr>
  </w:style>
  <w:style w:type="character" w:customStyle="1" w:styleId="datewedge">
    <w:name w:val="datewedge"/>
    <w:uiPriority w:val="99"/>
    <w:rsid w:val="00FA25E3"/>
    <w:rPr>
      <w:rFonts w:cs="Times New Roman"/>
    </w:rPr>
  </w:style>
  <w:style w:type="character" w:customStyle="1" w:styleId="roman">
    <w:name w:val="roman"/>
    <w:uiPriority w:val="99"/>
    <w:rsid w:val="00FA25E3"/>
    <w:rPr>
      <w:rFonts w:cs="Times New Roman"/>
    </w:rPr>
  </w:style>
  <w:style w:type="paragraph" w:customStyle="1" w:styleId="quotations">
    <w:name w:val="quotations"/>
    <w:basedOn w:val="Normal"/>
    <w:uiPriority w:val="99"/>
    <w:rsid w:val="00FA25E3"/>
    <w:pPr>
      <w:spacing w:before="100" w:beforeAutospacing="1" w:after="100" w:afterAutospacing="1" w:line="240" w:lineRule="auto"/>
    </w:pPr>
    <w:rPr>
      <w:rFonts w:ascii="Times New Roman" w:eastAsia="Times New Roman" w:hAnsi="Times New Roman"/>
      <w:sz w:val="24"/>
      <w:szCs w:val="24"/>
      <w:lang w:eastAsia="en-AU"/>
    </w:rPr>
  </w:style>
  <w:style w:type="paragraph" w:styleId="Header">
    <w:name w:val="header"/>
    <w:basedOn w:val="Normal"/>
    <w:link w:val="HeaderChar"/>
    <w:uiPriority w:val="99"/>
    <w:rsid w:val="0076629A"/>
    <w:pPr>
      <w:tabs>
        <w:tab w:val="center" w:pos="4513"/>
        <w:tab w:val="right" w:pos="9026"/>
      </w:tabs>
      <w:spacing w:after="0" w:line="240" w:lineRule="auto"/>
    </w:pPr>
  </w:style>
  <w:style w:type="character" w:customStyle="1" w:styleId="HeaderChar">
    <w:name w:val="Header Char"/>
    <w:link w:val="Header"/>
    <w:uiPriority w:val="99"/>
    <w:locked/>
    <w:rsid w:val="0076629A"/>
    <w:rPr>
      <w:rFonts w:cs="Times New Roman"/>
    </w:rPr>
  </w:style>
  <w:style w:type="paragraph" w:styleId="Footer">
    <w:name w:val="footer"/>
    <w:basedOn w:val="Normal"/>
    <w:link w:val="FooterChar"/>
    <w:uiPriority w:val="99"/>
    <w:rsid w:val="0076629A"/>
    <w:pPr>
      <w:tabs>
        <w:tab w:val="center" w:pos="4513"/>
        <w:tab w:val="right" w:pos="9026"/>
      </w:tabs>
      <w:spacing w:after="0" w:line="240" w:lineRule="auto"/>
    </w:pPr>
  </w:style>
  <w:style w:type="character" w:customStyle="1" w:styleId="FooterChar">
    <w:name w:val="Footer Char"/>
    <w:link w:val="Footer"/>
    <w:uiPriority w:val="99"/>
    <w:locked/>
    <w:rsid w:val="0076629A"/>
    <w:rPr>
      <w:rFonts w:cs="Times New Roman"/>
    </w:rPr>
  </w:style>
  <w:style w:type="paragraph" w:styleId="BalloonText">
    <w:name w:val="Balloon Text"/>
    <w:basedOn w:val="Normal"/>
    <w:link w:val="BalloonTextChar"/>
    <w:uiPriority w:val="99"/>
    <w:semiHidden/>
    <w:rsid w:val="002A78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A78C7"/>
    <w:rPr>
      <w:rFonts w:ascii="Tahoma" w:hAnsi="Tahoma" w:cs="Tahoma"/>
      <w:sz w:val="16"/>
      <w:szCs w:val="16"/>
    </w:rPr>
  </w:style>
  <w:style w:type="paragraph" w:styleId="FootnoteText">
    <w:name w:val="footnote text"/>
    <w:basedOn w:val="Normal"/>
    <w:link w:val="FootnoteTextChar"/>
    <w:uiPriority w:val="99"/>
    <w:rsid w:val="003C0C72"/>
    <w:pPr>
      <w:spacing w:after="0" w:line="240" w:lineRule="auto"/>
    </w:pPr>
    <w:rPr>
      <w:sz w:val="20"/>
      <w:szCs w:val="20"/>
    </w:rPr>
  </w:style>
  <w:style w:type="character" w:customStyle="1" w:styleId="FootnoteTextChar">
    <w:name w:val="Footnote Text Char"/>
    <w:link w:val="FootnoteText"/>
    <w:uiPriority w:val="99"/>
    <w:locked/>
    <w:rsid w:val="003C0C72"/>
    <w:rPr>
      <w:rFonts w:cs="Times New Roman"/>
      <w:sz w:val="20"/>
      <w:szCs w:val="20"/>
    </w:rPr>
  </w:style>
  <w:style w:type="character" w:styleId="FootnoteReference">
    <w:name w:val="footnote reference"/>
    <w:uiPriority w:val="99"/>
    <w:semiHidden/>
    <w:rsid w:val="003C0C7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854530">
      <w:marLeft w:val="0"/>
      <w:marRight w:val="0"/>
      <w:marTop w:val="0"/>
      <w:marBottom w:val="0"/>
      <w:divBdr>
        <w:top w:val="none" w:sz="0" w:space="0" w:color="auto"/>
        <w:left w:val="none" w:sz="0" w:space="0" w:color="auto"/>
        <w:bottom w:val="none" w:sz="0" w:space="0" w:color="auto"/>
        <w:right w:val="none" w:sz="0" w:space="0" w:color="auto"/>
      </w:divBdr>
      <w:divsChild>
        <w:div w:id="1269854540">
          <w:marLeft w:val="-168"/>
          <w:marRight w:val="225"/>
          <w:marTop w:val="0"/>
          <w:marBottom w:val="225"/>
          <w:divBdr>
            <w:top w:val="none" w:sz="0" w:space="0" w:color="auto"/>
            <w:left w:val="none" w:sz="0" w:space="0" w:color="auto"/>
            <w:bottom w:val="none" w:sz="0" w:space="0" w:color="auto"/>
            <w:right w:val="none" w:sz="0" w:space="0" w:color="auto"/>
          </w:divBdr>
          <w:divsChild>
            <w:div w:id="1269854520">
              <w:marLeft w:val="0"/>
              <w:marRight w:val="0"/>
              <w:marTop w:val="0"/>
              <w:marBottom w:val="0"/>
              <w:divBdr>
                <w:top w:val="none" w:sz="0" w:space="0" w:color="auto"/>
                <w:left w:val="none" w:sz="0" w:space="0" w:color="auto"/>
                <w:bottom w:val="none" w:sz="0" w:space="0" w:color="auto"/>
                <w:right w:val="none" w:sz="0" w:space="0" w:color="auto"/>
              </w:divBdr>
              <w:divsChild>
                <w:div w:id="1269854541">
                  <w:marLeft w:val="0"/>
                  <w:marRight w:val="0"/>
                  <w:marTop w:val="0"/>
                  <w:marBottom w:val="0"/>
                  <w:divBdr>
                    <w:top w:val="none" w:sz="0" w:space="0" w:color="auto"/>
                    <w:left w:val="none" w:sz="0" w:space="0" w:color="auto"/>
                    <w:bottom w:val="none" w:sz="0" w:space="0" w:color="auto"/>
                    <w:right w:val="none" w:sz="0" w:space="0" w:color="auto"/>
                  </w:divBdr>
                </w:div>
              </w:divsChild>
            </w:div>
            <w:div w:id="1269854538">
              <w:marLeft w:val="0"/>
              <w:marRight w:val="0"/>
              <w:marTop w:val="0"/>
              <w:marBottom w:val="0"/>
              <w:divBdr>
                <w:top w:val="none" w:sz="0" w:space="0" w:color="auto"/>
                <w:left w:val="none" w:sz="0" w:space="0" w:color="auto"/>
                <w:bottom w:val="none" w:sz="0" w:space="0" w:color="auto"/>
                <w:right w:val="none" w:sz="0" w:space="0" w:color="auto"/>
              </w:divBdr>
              <w:divsChild>
                <w:div w:id="1269854550">
                  <w:marLeft w:val="0"/>
                  <w:marRight w:val="0"/>
                  <w:marTop w:val="0"/>
                  <w:marBottom w:val="0"/>
                  <w:divBdr>
                    <w:top w:val="none" w:sz="0" w:space="0" w:color="auto"/>
                    <w:left w:val="none" w:sz="0" w:space="0" w:color="auto"/>
                    <w:bottom w:val="none" w:sz="0" w:space="0" w:color="auto"/>
                    <w:right w:val="none" w:sz="0" w:space="0" w:color="auto"/>
                  </w:divBdr>
                </w:div>
              </w:divsChild>
            </w:div>
            <w:div w:id="1269854556">
              <w:marLeft w:val="0"/>
              <w:marRight w:val="15"/>
              <w:marTop w:val="0"/>
              <w:marBottom w:val="0"/>
              <w:divBdr>
                <w:top w:val="none" w:sz="0" w:space="0" w:color="auto"/>
                <w:left w:val="none" w:sz="0" w:space="0" w:color="auto"/>
                <w:bottom w:val="none" w:sz="0" w:space="0" w:color="auto"/>
                <w:right w:val="none" w:sz="0" w:space="0" w:color="auto"/>
              </w:divBdr>
              <w:divsChild>
                <w:div w:id="1269854527">
                  <w:marLeft w:val="0"/>
                  <w:marRight w:val="0"/>
                  <w:marTop w:val="0"/>
                  <w:marBottom w:val="0"/>
                  <w:divBdr>
                    <w:top w:val="none" w:sz="0" w:space="0" w:color="auto"/>
                    <w:left w:val="none" w:sz="0" w:space="0" w:color="auto"/>
                    <w:bottom w:val="none" w:sz="0" w:space="0" w:color="auto"/>
                    <w:right w:val="none" w:sz="0" w:space="0" w:color="auto"/>
                  </w:divBdr>
                  <w:divsChild>
                    <w:div w:id="1269854515">
                      <w:marLeft w:val="720"/>
                      <w:marRight w:val="0"/>
                      <w:marTop w:val="48"/>
                      <w:marBottom w:val="0"/>
                      <w:divBdr>
                        <w:top w:val="none" w:sz="0" w:space="0" w:color="auto"/>
                        <w:left w:val="none" w:sz="0" w:space="0" w:color="auto"/>
                        <w:bottom w:val="none" w:sz="0" w:space="0" w:color="auto"/>
                        <w:right w:val="none" w:sz="0" w:space="0" w:color="auto"/>
                      </w:divBdr>
                    </w:div>
                    <w:div w:id="1269854516">
                      <w:marLeft w:val="720"/>
                      <w:marRight w:val="0"/>
                      <w:marTop w:val="48"/>
                      <w:marBottom w:val="0"/>
                      <w:divBdr>
                        <w:top w:val="none" w:sz="0" w:space="0" w:color="auto"/>
                        <w:left w:val="none" w:sz="0" w:space="0" w:color="auto"/>
                        <w:bottom w:val="none" w:sz="0" w:space="0" w:color="auto"/>
                        <w:right w:val="none" w:sz="0" w:space="0" w:color="auto"/>
                      </w:divBdr>
                    </w:div>
                    <w:div w:id="1269854518">
                      <w:marLeft w:val="720"/>
                      <w:marRight w:val="0"/>
                      <w:marTop w:val="48"/>
                      <w:marBottom w:val="0"/>
                      <w:divBdr>
                        <w:top w:val="none" w:sz="0" w:space="0" w:color="auto"/>
                        <w:left w:val="none" w:sz="0" w:space="0" w:color="auto"/>
                        <w:bottom w:val="none" w:sz="0" w:space="0" w:color="auto"/>
                        <w:right w:val="none" w:sz="0" w:space="0" w:color="auto"/>
                      </w:divBdr>
                    </w:div>
                    <w:div w:id="1269854521">
                      <w:marLeft w:val="720"/>
                      <w:marRight w:val="0"/>
                      <w:marTop w:val="48"/>
                      <w:marBottom w:val="0"/>
                      <w:divBdr>
                        <w:top w:val="none" w:sz="0" w:space="0" w:color="auto"/>
                        <w:left w:val="none" w:sz="0" w:space="0" w:color="auto"/>
                        <w:bottom w:val="none" w:sz="0" w:space="0" w:color="auto"/>
                        <w:right w:val="none" w:sz="0" w:space="0" w:color="auto"/>
                      </w:divBdr>
                    </w:div>
                    <w:div w:id="1269854522">
                      <w:marLeft w:val="720"/>
                      <w:marRight w:val="0"/>
                      <w:marTop w:val="48"/>
                      <w:marBottom w:val="0"/>
                      <w:divBdr>
                        <w:top w:val="none" w:sz="0" w:space="0" w:color="auto"/>
                        <w:left w:val="none" w:sz="0" w:space="0" w:color="auto"/>
                        <w:bottom w:val="none" w:sz="0" w:space="0" w:color="auto"/>
                        <w:right w:val="none" w:sz="0" w:space="0" w:color="auto"/>
                      </w:divBdr>
                    </w:div>
                    <w:div w:id="1269854526">
                      <w:marLeft w:val="720"/>
                      <w:marRight w:val="0"/>
                      <w:marTop w:val="48"/>
                      <w:marBottom w:val="0"/>
                      <w:divBdr>
                        <w:top w:val="none" w:sz="0" w:space="0" w:color="auto"/>
                        <w:left w:val="none" w:sz="0" w:space="0" w:color="auto"/>
                        <w:bottom w:val="none" w:sz="0" w:space="0" w:color="auto"/>
                        <w:right w:val="none" w:sz="0" w:space="0" w:color="auto"/>
                      </w:divBdr>
                    </w:div>
                    <w:div w:id="1269854534">
                      <w:marLeft w:val="720"/>
                      <w:marRight w:val="0"/>
                      <w:marTop w:val="48"/>
                      <w:marBottom w:val="0"/>
                      <w:divBdr>
                        <w:top w:val="none" w:sz="0" w:space="0" w:color="auto"/>
                        <w:left w:val="none" w:sz="0" w:space="0" w:color="auto"/>
                        <w:bottom w:val="none" w:sz="0" w:space="0" w:color="auto"/>
                        <w:right w:val="none" w:sz="0" w:space="0" w:color="auto"/>
                      </w:divBdr>
                    </w:div>
                    <w:div w:id="1269854535">
                      <w:marLeft w:val="720"/>
                      <w:marRight w:val="0"/>
                      <w:marTop w:val="48"/>
                      <w:marBottom w:val="0"/>
                      <w:divBdr>
                        <w:top w:val="none" w:sz="0" w:space="0" w:color="auto"/>
                        <w:left w:val="none" w:sz="0" w:space="0" w:color="auto"/>
                        <w:bottom w:val="none" w:sz="0" w:space="0" w:color="auto"/>
                        <w:right w:val="none" w:sz="0" w:space="0" w:color="auto"/>
                      </w:divBdr>
                    </w:div>
                    <w:div w:id="1269854536">
                      <w:marLeft w:val="720"/>
                      <w:marRight w:val="0"/>
                      <w:marTop w:val="48"/>
                      <w:marBottom w:val="0"/>
                      <w:divBdr>
                        <w:top w:val="none" w:sz="0" w:space="0" w:color="auto"/>
                        <w:left w:val="none" w:sz="0" w:space="0" w:color="auto"/>
                        <w:bottom w:val="none" w:sz="0" w:space="0" w:color="auto"/>
                        <w:right w:val="none" w:sz="0" w:space="0" w:color="auto"/>
                      </w:divBdr>
                    </w:div>
                    <w:div w:id="1269854542">
                      <w:marLeft w:val="720"/>
                      <w:marRight w:val="0"/>
                      <w:marTop w:val="48"/>
                      <w:marBottom w:val="0"/>
                      <w:divBdr>
                        <w:top w:val="none" w:sz="0" w:space="0" w:color="auto"/>
                        <w:left w:val="none" w:sz="0" w:space="0" w:color="auto"/>
                        <w:bottom w:val="none" w:sz="0" w:space="0" w:color="auto"/>
                        <w:right w:val="none" w:sz="0" w:space="0" w:color="auto"/>
                      </w:divBdr>
                    </w:div>
                    <w:div w:id="1269854547">
                      <w:marLeft w:val="720"/>
                      <w:marRight w:val="0"/>
                      <w:marTop w:val="48"/>
                      <w:marBottom w:val="0"/>
                      <w:divBdr>
                        <w:top w:val="none" w:sz="0" w:space="0" w:color="auto"/>
                        <w:left w:val="none" w:sz="0" w:space="0" w:color="auto"/>
                        <w:bottom w:val="none" w:sz="0" w:space="0" w:color="auto"/>
                        <w:right w:val="none" w:sz="0" w:space="0" w:color="auto"/>
                      </w:divBdr>
                    </w:div>
                    <w:div w:id="1269854554">
                      <w:marLeft w:val="720"/>
                      <w:marRight w:val="0"/>
                      <w:marTop w:val="48"/>
                      <w:marBottom w:val="0"/>
                      <w:divBdr>
                        <w:top w:val="none" w:sz="0" w:space="0" w:color="auto"/>
                        <w:left w:val="none" w:sz="0" w:space="0" w:color="auto"/>
                        <w:bottom w:val="none" w:sz="0" w:space="0" w:color="auto"/>
                        <w:right w:val="none" w:sz="0" w:space="0" w:color="auto"/>
                      </w:divBdr>
                    </w:div>
                    <w:div w:id="1269854555">
                      <w:marLeft w:val="72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269854553">
          <w:marLeft w:val="0"/>
          <w:marRight w:val="0"/>
          <w:marTop w:val="0"/>
          <w:marBottom w:val="0"/>
          <w:divBdr>
            <w:top w:val="none" w:sz="0" w:space="0" w:color="auto"/>
            <w:left w:val="none" w:sz="0" w:space="0" w:color="auto"/>
            <w:bottom w:val="none" w:sz="0" w:space="0" w:color="auto"/>
            <w:right w:val="none" w:sz="0" w:space="0" w:color="auto"/>
          </w:divBdr>
        </w:div>
      </w:divsChild>
    </w:div>
    <w:div w:id="1269854531">
      <w:marLeft w:val="0"/>
      <w:marRight w:val="0"/>
      <w:marTop w:val="0"/>
      <w:marBottom w:val="0"/>
      <w:divBdr>
        <w:top w:val="none" w:sz="0" w:space="0" w:color="auto"/>
        <w:left w:val="none" w:sz="0" w:space="0" w:color="auto"/>
        <w:bottom w:val="none" w:sz="0" w:space="0" w:color="auto"/>
        <w:right w:val="none" w:sz="0" w:space="0" w:color="auto"/>
      </w:divBdr>
      <w:divsChild>
        <w:div w:id="1269854528">
          <w:marLeft w:val="0"/>
          <w:marRight w:val="-525"/>
          <w:marTop w:val="0"/>
          <w:marBottom w:val="0"/>
          <w:divBdr>
            <w:top w:val="none" w:sz="0" w:space="0" w:color="auto"/>
            <w:left w:val="none" w:sz="0" w:space="0" w:color="auto"/>
            <w:bottom w:val="none" w:sz="0" w:space="0" w:color="auto"/>
            <w:right w:val="none" w:sz="0" w:space="0" w:color="auto"/>
          </w:divBdr>
        </w:div>
      </w:divsChild>
    </w:div>
    <w:div w:id="1269854533">
      <w:marLeft w:val="0"/>
      <w:marRight w:val="0"/>
      <w:marTop w:val="0"/>
      <w:marBottom w:val="0"/>
      <w:divBdr>
        <w:top w:val="none" w:sz="0" w:space="0" w:color="auto"/>
        <w:left w:val="none" w:sz="0" w:space="0" w:color="auto"/>
        <w:bottom w:val="none" w:sz="0" w:space="0" w:color="auto"/>
        <w:right w:val="none" w:sz="0" w:space="0" w:color="auto"/>
      </w:divBdr>
      <w:divsChild>
        <w:div w:id="1269854557">
          <w:marLeft w:val="0"/>
          <w:marRight w:val="15"/>
          <w:marTop w:val="0"/>
          <w:marBottom w:val="0"/>
          <w:divBdr>
            <w:top w:val="none" w:sz="0" w:space="0" w:color="auto"/>
            <w:left w:val="none" w:sz="0" w:space="0" w:color="auto"/>
            <w:bottom w:val="none" w:sz="0" w:space="0" w:color="auto"/>
            <w:right w:val="none" w:sz="0" w:space="0" w:color="auto"/>
          </w:divBdr>
          <w:divsChild>
            <w:div w:id="1269854524">
              <w:marLeft w:val="0"/>
              <w:marRight w:val="0"/>
              <w:marTop w:val="0"/>
              <w:marBottom w:val="0"/>
              <w:divBdr>
                <w:top w:val="none" w:sz="0" w:space="0" w:color="auto"/>
                <w:left w:val="none" w:sz="0" w:space="0" w:color="auto"/>
                <w:bottom w:val="none" w:sz="0" w:space="0" w:color="auto"/>
                <w:right w:val="none" w:sz="0" w:space="0" w:color="auto"/>
              </w:divBdr>
              <w:divsChild>
                <w:div w:id="1269854517">
                  <w:marLeft w:val="720"/>
                  <w:marRight w:val="0"/>
                  <w:marTop w:val="48"/>
                  <w:marBottom w:val="0"/>
                  <w:divBdr>
                    <w:top w:val="none" w:sz="0" w:space="0" w:color="auto"/>
                    <w:left w:val="none" w:sz="0" w:space="0" w:color="auto"/>
                    <w:bottom w:val="none" w:sz="0" w:space="0" w:color="auto"/>
                    <w:right w:val="none" w:sz="0" w:space="0" w:color="auto"/>
                  </w:divBdr>
                </w:div>
                <w:div w:id="1269854519">
                  <w:marLeft w:val="720"/>
                  <w:marRight w:val="0"/>
                  <w:marTop w:val="48"/>
                  <w:marBottom w:val="0"/>
                  <w:divBdr>
                    <w:top w:val="none" w:sz="0" w:space="0" w:color="auto"/>
                    <w:left w:val="none" w:sz="0" w:space="0" w:color="auto"/>
                    <w:bottom w:val="none" w:sz="0" w:space="0" w:color="auto"/>
                    <w:right w:val="none" w:sz="0" w:space="0" w:color="auto"/>
                  </w:divBdr>
                </w:div>
                <w:div w:id="1269854523">
                  <w:marLeft w:val="720"/>
                  <w:marRight w:val="0"/>
                  <w:marTop w:val="48"/>
                  <w:marBottom w:val="0"/>
                  <w:divBdr>
                    <w:top w:val="none" w:sz="0" w:space="0" w:color="auto"/>
                    <w:left w:val="none" w:sz="0" w:space="0" w:color="auto"/>
                    <w:bottom w:val="none" w:sz="0" w:space="0" w:color="auto"/>
                    <w:right w:val="none" w:sz="0" w:space="0" w:color="auto"/>
                  </w:divBdr>
                </w:div>
                <w:div w:id="1269854525">
                  <w:marLeft w:val="720"/>
                  <w:marRight w:val="0"/>
                  <w:marTop w:val="48"/>
                  <w:marBottom w:val="0"/>
                  <w:divBdr>
                    <w:top w:val="none" w:sz="0" w:space="0" w:color="auto"/>
                    <w:left w:val="none" w:sz="0" w:space="0" w:color="auto"/>
                    <w:bottom w:val="none" w:sz="0" w:space="0" w:color="auto"/>
                    <w:right w:val="none" w:sz="0" w:space="0" w:color="auto"/>
                  </w:divBdr>
                </w:div>
                <w:div w:id="1269854529">
                  <w:marLeft w:val="720"/>
                  <w:marRight w:val="0"/>
                  <w:marTop w:val="48"/>
                  <w:marBottom w:val="0"/>
                  <w:divBdr>
                    <w:top w:val="none" w:sz="0" w:space="0" w:color="auto"/>
                    <w:left w:val="none" w:sz="0" w:space="0" w:color="auto"/>
                    <w:bottom w:val="none" w:sz="0" w:space="0" w:color="auto"/>
                    <w:right w:val="none" w:sz="0" w:space="0" w:color="auto"/>
                  </w:divBdr>
                </w:div>
                <w:div w:id="1269854532">
                  <w:marLeft w:val="720"/>
                  <w:marRight w:val="0"/>
                  <w:marTop w:val="48"/>
                  <w:marBottom w:val="0"/>
                  <w:divBdr>
                    <w:top w:val="none" w:sz="0" w:space="0" w:color="auto"/>
                    <w:left w:val="none" w:sz="0" w:space="0" w:color="auto"/>
                    <w:bottom w:val="none" w:sz="0" w:space="0" w:color="auto"/>
                    <w:right w:val="none" w:sz="0" w:space="0" w:color="auto"/>
                  </w:divBdr>
                </w:div>
                <w:div w:id="1269854537">
                  <w:marLeft w:val="720"/>
                  <w:marRight w:val="0"/>
                  <w:marTop w:val="48"/>
                  <w:marBottom w:val="0"/>
                  <w:divBdr>
                    <w:top w:val="none" w:sz="0" w:space="0" w:color="auto"/>
                    <w:left w:val="none" w:sz="0" w:space="0" w:color="auto"/>
                    <w:bottom w:val="none" w:sz="0" w:space="0" w:color="auto"/>
                    <w:right w:val="none" w:sz="0" w:space="0" w:color="auto"/>
                  </w:divBdr>
                </w:div>
                <w:div w:id="1269854539">
                  <w:marLeft w:val="720"/>
                  <w:marRight w:val="0"/>
                  <w:marTop w:val="48"/>
                  <w:marBottom w:val="0"/>
                  <w:divBdr>
                    <w:top w:val="none" w:sz="0" w:space="0" w:color="auto"/>
                    <w:left w:val="none" w:sz="0" w:space="0" w:color="auto"/>
                    <w:bottom w:val="none" w:sz="0" w:space="0" w:color="auto"/>
                    <w:right w:val="none" w:sz="0" w:space="0" w:color="auto"/>
                  </w:divBdr>
                </w:div>
                <w:div w:id="1269854543">
                  <w:marLeft w:val="720"/>
                  <w:marRight w:val="0"/>
                  <w:marTop w:val="48"/>
                  <w:marBottom w:val="0"/>
                  <w:divBdr>
                    <w:top w:val="none" w:sz="0" w:space="0" w:color="auto"/>
                    <w:left w:val="none" w:sz="0" w:space="0" w:color="auto"/>
                    <w:bottom w:val="none" w:sz="0" w:space="0" w:color="auto"/>
                    <w:right w:val="none" w:sz="0" w:space="0" w:color="auto"/>
                  </w:divBdr>
                </w:div>
                <w:div w:id="1269854544">
                  <w:marLeft w:val="720"/>
                  <w:marRight w:val="0"/>
                  <w:marTop w:val="48"/>
                  <w:marBottom w:val="0"/>
                  <w:divBdr>
                    <w:top w:val="none" w:sz="0" w:space="0" w:color="auto"/>
                    <w:left w:val="none" w:sz="0" w:space="0" w:color="auto"/>
                    <w:bottom w:val="none" w:sz="0" w:space="0" w:color="auto"/>
                    <w:right w:val="none" w:sz="0" w:space="0" w:color="auto"/>
                  </w:divBdr>
                </w:div>
                <w:div w:id="1269854545">
                  <w:marLeft w:val="720"/>
                  <w:marRight w:val="0"/>
                  <w:marTop w:val="48"/>
                  <w:marBottom w:val="0"/>
                  <w:divBdr>
                    <w:top w:val="none" w:sz="0" w:space="0" w:color="auto"/>
                    <w:left w:val="none" w:sz="0" w:space="0" w:color="auto"/>
                    <w:bottom w:val="none" w:sz="0" w:space="0" w:color="auto"/>
                    <w:right w:val="none" w:sz="0" w:space="0" w:color="auto"/>
                  </w:divBdr>
                </w:div>
                <w:div w:id="1269854546">
                  <w:marLeft w:val="720"/>
                  <w:marRight w:val="0"/>
                  <w:marTop w:val="48"/>
                  <w:marBottom w:val="0"/>
                  <w:divBdr>
                    <w:top w:val="none" w:sz="0" w:space="0" w:color="auto"/>
                    <w:left w:val="none" w:sz="0" w:space="0" w:color="auto"/>
                    <w:bottom w:val="none" w:sz="0" w:space="0" w:color="auto"/>
                    <w:right w:val="none" w:sz="0" w:space="0" w:color="auto"/>
                  </w:divBdr>
                </w:div>
                <w:div w:id="1269854548">
                  <w:marLeft w:val="720"/>
                  <w:marRight w:val="0"/>
                  <w:marTop w:val="48"/>
                  <w:marBottom w:val="0"/>
                  <w:divBdr>
                    <w:top w:val="none" w:sz="0" w:space="0" w:color="auto"/>
                    <w:left w:val="none" w:sz="0" w:space="0" w:color="auto"/>
                    <w:bottom w:val="none" w:sz="0" w:space="0" w:color="auto"/>
                    <w:right w:val="none" w:sz="0" w:space="0" w:color="auto"/>
                  </w:divBdr>
                </w:div>
                <w:div w:id="1269854549">
                  <w:marLeft w:val="720"/>
                  <w:marRight w:val="0"/>
                  <w:marTop w:val="48"/>
                  <w:marBottom w:val="0"/>
                  <w:divBdr>
                    <w:top w:val="none" w:sz="0" w:space="0" w:color="auto"/>
                    <w:left w:val="none" w:sz="0" w:space="0" w:color="auto"/>
                    <w:bottom w:val="none" w:sz="0" w:space="0" w:color="auto"/>
                    <w:right w:val="none" w:sz="0" w:space="0" w:color="auto"/>
                  </w:divBdr>
                </w:div>
                <w:div w:id="1269854551">
                  <w:marLeft w:val="72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2698545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 Computational Bibliography of Two Plays from the Shakespeare Folio</vt:lpstr>
    </vt:vector>
  </TitlesOfParts>
  <Company>The University of Newcastle, Australia</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Computational Bibliography of Two Plays from the Shakespeare Folio</dc:title>
  <dc:subject/>
  <dc:creator>testuser1</dc:creator>
  <cp:keywords/>
  <dc:description/>
  <cp:lastModifiedBy>Bob2</cp:lastModifiedBy>
  <cp:revision>11</cp:revision>
  <cp:lastPrinted>2015-03-22T23:13:00Z</cp:lastPrinted>
  <dcterms:created xsi:type="dcterms:W3CDTF">2015-03-22T23:00:00Z</dcterms:created>
  <dcterms:modified xsi:type="dcterms:W3CDTF">2015-05-03T16:09:00Z</dcterms:modified>
</cp:coreProperties>
</file>