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BD68A" w14:textId="6609A73B" w:rsidR="00BF0D54" w:rsidRPr="00BF0D54" w:rsidRDefault="00BF0D54" w:rsidP="00CE7E36">
      <w:pPr>
        <w:keepLines/>
        <w:widowControl w:val="0"/>
        <w:spacing w:line="32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DABBS — Nothing</w:t>
      </w:r>
    </w:p>
    <w:p w14:paraId="06924168" w14:textId="1B616425" w:rsidR="00BF0D54" w:rsidRDefault="00BF0D54" w:rsidP="00A811D3">
      <w:pPr>
        <w:keepLines/>
        <w:widowControl w:val="0"/>
        <w:spacing w:line="320" w:lineRule="exact"/>
      </w:pPr>
      <w:r w:rsidRPr="00A811D3">
        <w:t>&lt;0 figures&gt;</w:t>
      </w:r>
    </w:p>
    <w:p w14:paraId="2954682C" w14:textId="77777777" w:rsidR="00503049" w:rsidRPr="00A811D3" w:rsidRDefault="00503049" w:rsidP="00A811D3">
      <w:pPr>
        <w:keepLines/>
        <w:widowControl w:val="0"/>
        <w:spacing w:line="320" w:lineRule="exact"/>
      </w:pPr>
    </w:p>
    <w:p w14:paraId="0EF9C389" w14:textId="6747A760" w:rsidR="008F684C" w:rsidRDefault="008F684C" w:rsidP="00CE7E36">
      <w:pPr>
        <w:keepLines/>
        <w:widowControl w:val="0"/>
        <w:spacing w:line="320" w:lineRule="exact"/>
        <w:rPr>
          <w:b/>
        </w:rPr>
      </w:pPr>
      <w:r w:rsidRPr="008F684C">
        <w:rPr>
          <w:b/>
        </w:rPr>
        <w:t xml:space="preserve">‘Nothing That Is Not There and </w:t>
      </w:r>
      <w:r w:rsidR="00BF0D54">
        <w:rPr>
          <w:b/>
        </w:rPr>
        <w:t>t</w:t>
      </w:r>
      <w:r w:rsidRPr="008F684C">
        <w:rPr>
          <w:b/>
        </w:rPr>
        <w:t>he Nothing That Is’:</w:t>
      </w:r>
      <w:r w:rsidR="00BF0D54">
        <w:rPr>
          <w:b/>
        </w:rPr>
        <w:t xml:space="preserve"> </w:t>
      </w:r>
      <w:r w:rsidRPr="008F684C">
        <w:rPr>
          <w:b/>
        </w:rPr>
        <w:t>Tracking the Digital Echoes between Churchyard and Theatre in Shakespeare’s London</w:t>
      </w:r>
    </w:p>
    <w:p w14:paraId="659FB7BB" w14:textId="681494A3" w:rsidR="00BF0D54" w:rsidRDefault="00BF0D54" w:rsidP="00CE7E36">
      <w:pPr>
        <w:keepLines/>
        <w:widowControl w:val="0"/>
        <w:spacing w:line="320" w:lineRule="exact"/>
        <w:rPr>
          <w:b/>
        </w:rPr>
      </w:pPr>
      <w:r>
        <w:t>Dabbs, T.</w:t>
      </w:r>
    </w:p>
    <w:p w14:paraId="3B587453" w14:textId="77777777" w:rsidR="00BF0D54" w:rsidRPr="008F684C" w:rsidRDefault="00BF0D54" w:rsidP="00CE7E36">
      <w:pPr>
        <w:keepLines/>
        <w:widowControl w:val="0"/>
        <w:spacing w:line="320" w:lineRule="exact"/>
        <w:rPr>
          <w:b/>
        </w:rPr>
      </w:pPr>
    </w:p>
    <w:p w14:paraId="1ECF0CB4" w14:textId="485E7A83" w:rsidR="008F684C" w:rsidRDefault="001B1FA1" w:rsidP="00CE7E36">
      <w:pPr>
        <w:widowControl w:val="0"/>
        <w:spacing w:line="320" w:lineRule="exact"/>
      </w:pPr>
      <w:r>
        <w:t xml:space="preserve">This talk considers one of </w:t>
      </w:r>
      <w:r w:rsidR="008F684C">
        <w:t>the way</w:t>
      </w:r>
      <w:r w:rsidR="00510413">
        <w:t>s</w:t>
      </w:r>
      <w:r>
        <w:t xml:space="preserve"> in which </w:t>
      </w:r>
      <w:r w:rsidR="0066456F">
        <w:t>various digital tools</w:t>
      </w:r>
      <w:r w:rsidR="008F684C">
        <w:t xml:space="preserve"> </w:t>
      </w:r>
      <w:r w:rsidR="00A47726">
        <w:t>can be</w:t>
      </w:r>
      <w:r w:rsidR="008F684C">
        <w:t xml:space="preserve"> used in an integrated fa</w:t>
      </w:r>
      <w:r w:rsidR="00064F77">
        <w:t>shion to map</w:t>
      </w:r>
      <w:r w:rsidR="00A47726">
        <w:t xml:space="preserve"> the public reception of new print and drama during the Elizabethan period</w:t>
      </w:r>
      <w:r w:rsidR="008F684C">
        <w:t>. Using the final line from</w:t>
      </w:r>
      <w:r w:rsidR="003851BB">
        <w:t xml:space="preserve"> Wallace Stevens’ </w:t>
      </w:r>
      <w:r w:rsidR="00BF0D54">
        <w:t>‘</w:t>
      </w:r>
      <w:r w:rsidR="003851BB">
        <w:t>The Snow Man</w:t>
      </w:r>
      <w:r w:rsidR="00BF0D54">
        <w:t>’</w:t>
      </w:r>
      <w:r w:rsidR="008F684C">
        <w:t xml:space="preserve"> as a prompt, the pap</w:t>
      </w:r>
      <w:r w:rsidR="0066456F">
        <w:t>er extolls</w:t>
      </w:r>
      <w:r w:rsidR="00A66D62">
        <w:t xml:space="preserve"> the virtue of using digital technology to make</w:t>
      </w:r>
      <w:r w:rsidR="0066456F">
        <w:t xml:space="preserve"> new</w:t>
      </w:r>
      <w:r w:rsidR="00A66D62">
        <w:t xml:space="preserve"> assumptions about human</w:t>
      </w:r>
      <w:r w:rsidR="008F684C">
        <w:t xml:space="preserve"> consciousness </w:t>
      </w:r>
      <w:r w:rsidR="00A66D62">
        <w:t xml:space="preserve">in historic times and places </w:t>
      </w:r>
      <w:r w:rsidR="0066456F">
        <w:t>that were once</w:t>
      </w:r>
      <w:r w:rsidR="008F684C">
        <w:t xml:space="preserve"> ‘there’ even if </w:t>
      </w:r>
      <w:r w:rsidR="00357B25">
        <w:t xml:space="preserve">they are </w:t>
      </w:r>
      <w:r w:rsidR="00A66D62">
        <w:t xml:space="preserve">currently or </w:t>
      </w:r>
      <w:r w:rsidR="008F684C">
        <w:t>ostensib</w:t>
      </w:r>
      <w:r w:rsidR="000D2E1F">
        <w:t>ly</w:t>
      </w:r>
      <w:r w:rsidR="00A66D62">
        <w:t xml:space="preserve"> ‘not there</w:t>
      </w:r>
      <w:r w:rsidR="000D2E1F">
        <w:t>’</w:t>
      </w:r>
      <w:r w:rsidR="00503049">
        <w:t>.</w:t>
      </w:r>
      <w:r w:rsidR="000D2E1F">
        <w:t xml:space="preserve"> This paper </w:t>
      </w:r>
      <w:r w:rsidR="008F684C">
        <w:t>also</w:t>
      </w:r>
      <w:r w:rsidR="00A66D62">
        <w:t xml:space="preserve"> acknowledges </w:t>
      </w:r>
      <w:r w:rsidR="00C50C74">
        <w:t xml:space="preserve">the </w:t>
      </w:r>
      <w:r w:rsidR="00A66D62">
        <w:t>limits of digital reconstructio</w:t>
      </w:r>
      <w:r w:rsidR="004573BE">
        <w:t xml:space="preserve">n and </w:t>
      </w:r>
      <w:r w:rsidR="00023A0D">
        <w:t>its use in interrogating</w:t>
      </w:r>
      <w:r w:rsidR="007E6EDA">
        <w:t xml:space="preserve"> the past. Indeed</w:t>
      </w:r>
      <w:r w:rsidR="006E26E9">
        <w:t>,</w:t>
      </w:r>
      <w:r w:rsidR="007E6EDA">
        <w:t xml:space="preserve"> </w:t>
      </w:r>
      <w:r w:rsidR="00A66D62">
        <w:t>finding</w:t>
      </w:r>
      <w:r w:rsidR="00190DE1">
        <w:t xml:space="preserve"> nothing</w:t>
      </w:r>
      <w:r w:rsidR="00A66D62">
        <w:t xml:space="preserve"> </w:t>
      </w:r>
      <w:r w:rsidR="004573BE">
        <w:t>may mean</w:t>
      </w:r>
      <w:r w:rsidR="007E6EDA">
        <w:t xml:space="preserve"> </w:t>
      </w:r>
      <w:r w:rsidR="00A66D62">
        <w:t>that there is nothing to be found</w:t>
      </w:r>
      <w:r w:rsidR="008F684C">
        <w:t xml:space="preserve">. </w:t>
      </w:r>
    </w:p>
    <w:p w14:paraId="08271622" w14:textId="605F44F6" w:rsidR="00D86B1D" w:rsidRDefault="00EE4050" w:rsidP="00CE7E36">
      <w:pPr>
        <w:widowControl w:val="0"/>
        <w:spacing w:line="320" w:lineRule="exact"/>
        <w:ind w:firstLine="720"/>
      </w:pPr>
      <w:r>
        <w:t xml:space="preserve">The thesis forwarded here is that the </w:t>
      </w:r>
      <w:r w:rsidR="00AC253E">
        <w:t>stage plays</w:t>
      </w:r>
      <w:r w:rsidR="008F684C">
        <w:t xml:space="preserve"> tha</w:t>
      </w:r>
      <w:r>
        <w:t>t were</w:t>
      </w:r>
      <w:r w:rsidR="00AC253E">
        <w:t xml:space="preserve"> performed </w:t>
      </w:r>
      <w:r w:rsidR="00C34B6E">
        <w:t xml:space="preserve">in </w:t>
      </w:r>
      <w:r w:rsidR="00AC253E">
        <w:t xml:space="preserve">Elizabethan </w:t>
      </w:r>
      <w:r w:rsidR="00BA067A">
        <w:t xml:space="preserve">public </w:t>
      </w:r>
      <w:r w:rsidR="008F684C">
        <w:t>amphitheatres</w:t>
      </w:r>
      <w:r w:rsidR="00AC253E">
        <w:t xml:space="preserve"> </w:t>
      </w:r>
      <w:r w:rsidR="0045560C">
        <w:t>were</w:t>
      </w:r>
      <w:r w:rsidR="00731456">
        <w:t xml:space="preserve"> </w:t>
      </w:r>
      <w:r w:rsidR="00AC253E">
        <w:t xml:space="preserve">inundated with </w:t>
      </w:r>
      <w:r w:rsidR="0045560C">
        <w:t>formally crafted echoes</w:t>
      </w:r>
      <w:r w:rsidR="00C34B6E">
        <w:t xml:space="preserve">, not only of recent print, but also </w:t>
      </w:r>
      <w:r w:rsidR="00731456">
        <w:t xml:space="preserve">the </w:t>
      </w:r>
      <w:r w:rsidR="0045560C">
        <w:t xml:space="preserve">public </w:t>
      </w:r>
      <w:r w:rsidR="00AC253E">
        <w:t xml:space="preserve">reception of recent </w:t>
      </w:r>
      <w:r w:rsidR="0045560C">
        <w:t>print</w:t>
      </w:r>
      <w:r w:rsidR="00C34B6E">
        <w:t>. This public reception is</w:t>
      </w:r>
      <w:r w:rsidR="00697889">
        <w:t xml:space="preserve"> most immediately apparent </w:t>
      </w:r>
      <w:r w:rsidR="00AC253E">
        <w:t>within the St Paul’s precinct</w:t>
      </w:r>
      <w:r w:rsidR="00284CDC">
        <w:t xml:space="preserve"> </w:t>
      </w:r>
      <w:r w:rsidR="00697889">
        <w:t xml:space="preserve">in the City of London </w:t>
      </w:r>
      <w:r w:rsidR="00284CDC">
        <w:t>and would be next to impossible to re</w:t>
      </w:r>
      <w:r w:rsidR="00503049">
        <w:t>-</w:t>
      </w:r>
      <w:r w:rsidR="00284CDC">
        <w:t xml:space="preserve">create without </w:t>
      </w:r>
      <w:r w:rsidR="006C672C">
        <w:t>the search capabilities of</w:t>
      </w:r>
      <w:r w:rsidR="00284CDC">
        <w:t xml:space="preserve"> </w:t>
      </w:r>
      <w:r w:rsidR="00DE7342">
        <w:rPr>
          <w:i/>
        </w:rPr>
        <w:t>EEBO-TCP</w:t>
      </w:r>
      <w:r w:rsidR="00DE7342" w:rsidRPr="00A811D3">
        <w:t>,</w:t>
      </w:r>
      <w:r w:rsidR="00DE7342">
        <w:rPr>
          <w:i/>
        </w:rPr>
        <w:t xml:space="preserve"> ESTC</w:t>
      </w:r>
      <w:r w:rsidR="00284CDC" w:rsidRPr="00A811D3">
        <w:t>,</w:t>
      </w:r>
      <w:r w:rsidR="00284CDC" w:rsidRPr="00133294">
        <w:rPr>
          <w:i/>
        </w:rPr>
        <w:t xml:space="preserve"> Lost Plays Database</w:t>
      </w:r>
      <w:r w:rsidR="00284CDC">
        <w:t xml:space="preserve">, and other </w:t>
      </w:r>
      <w:r w:rsidR="006C672C">
        <w:t xml:space="preserve">digital </w:t>
      </w:r>
      <w:r w:rsidR="00284CDC">
        <w:t>platforms</w:t>
      </w:r>
      <w:r>
        <w:t xml:space="preserve">. </w:t>
      </w:r>
      <w:r w:rsidR="00E736AC">
        <w:t xml:space="preserve">When </w:t>
      </w:r>
      <w:r w:rsidR="00C34B6E">
        <w:t>reconstruct</w:t>
      </w:r>
      <w:r w:rsidR="00E736AC">
        <w:t>ing</w:t>
      </w:r>
      <w:r w:rsidR="00357B25">
        <w:t xml:space="preserve"> the</w:t>
      </w:r>
      <w:r w:rsidR="00C34B6E">
        <w:t xml:space="preserve"> relationship</w:t>
      </w:r>
      <w:r w:rsidR="00284CDC">
        <w:t xml:space="preserve"> between s</w:t>
      </w:r>
      <w:r w:rsidR="00DE7342">
        <w:t>tage performances</w:t>
      </w:r>
      <w:r w:rsidR="00D86B1D">
        <w:t xml:space="preserve"> and the public reception of printed work</w:t>
      </w:r>
      <w:r w:rsidR="00C34B6E">
        <w:t xml:space="preserve">, we </w:t>
      </w:r>
      <w:r w:rsidR="00DE7342">
        <w:t>are able to</w:t>
      </w:r>
      <w:r w:rsidR="00D86B1D">
        <w:t xml:space="preserve"> see how a </w:t>
      </w:r>
      <w:r w:rsidR="006C672C">
        <w:t xml:space="preserve">publicly performed </w:t>
      </w:r>
      <w:r w:rsidR="00E736AC">
        <w:t>play</w:t>
      </w:r>
      <w:r w:rsidR="00503049">
        <w:t>—</w:t>
      </w:r>
      <w:r w:rsidR="00E736AC">
        <w:t>say, one about the tragic outcomes of Romeo and Juliet</w:t>
      </w:r>
      <w:r w:rsidR="00503049">
        <w:t>—</w:t>
      </w:r>
      <w:r w:rsidR="00E736AC">
        <w:t xml:space="preserve">echoed </w:t>
      </w:r>
      <w:r w:rsidR="00357B25">
        <w:t>recent</w:t>
      </w:r>
      <w:r w:rsidR="00450AC6">
        <w:t xml:space="preserve"> </w:t>
      </w:r>
      <w:r w:rsidR="00E736AC">
        <w:t xml:space="preserve">public discourse </w:t>
      </w:r>
      <w:r w:rsidR="00357B25">
        <w:t xml:space="preserve">and action </w:t>
      </w:r>
      <w:r w:rsidR="00450AC6">
        <w:t>in early modern London</w:t>
      </w:r>
      <w:r w:rsidR="00357B25">
        <w:t>, discourse and action that was fueled by new print</w:t>
      </w:r>
      <w:r w:rsidR="00E736AC">
        <w:t xml:space="preserve">. </w:t>
      </w:r>
    </w:p>
    <w:p w14:paraId="5E88C76E" w14:textId="1CCC99B5" w:rsidR="00D86B1D" w:rsidRDefault="00F47C24" w:rsidP="00CE7E36">
      <w:pPr>
        <w:widowControl w:val="0"/>
        <w:spacing w:line="320" w:lineRule="exact"/>
        <w:ind w:firstLine="720"/>
      </w:pPr>
      <w:r>
        <w:t>In particular</w:t>
      </w:r>
      <w:r w:rsidR="00503049">
        <w:t>,</w:t>
      </w:r>
      <w:r>
        <w:t xml:space="preserve"> t</w:t>
      </w:r>
      <w:r w:rsidR="008F684C">
        <w:t>he cultural environment of Paul’s Cross Churchyard, at that time located on the northeast side of St Paul’s</w:t>
      </w:r>
      <w:r>
        <w:t xml:space="preserve"> cathedral</w:t>
      </w:r>
      <w:r w:rsidR="00FD57BE">
        <w:t>,</w:t>
      </w:r>
      <w:r w:rsidR="00EE4050">
        <w:t xml:space="preserve"> is groun</w:t>
      </w:r>
      <w:r w:rsidR="006B7CAC">
        <w:t xml:space="preserve">d zero for this public </w:t>
      </w:r>
      <w:r w:rsidR="00697889">
        <w:t>discourse community</w:t>
      </w:r>
      <w:r w:rsidR="008F684C">
        <w:t xml:space="preserve">. </w:t>
      </w:r>
      <w:r w:rsidR="00D86B1D">
        <w:t>This area</w:t>
      </w:r>
      <w:r w:rsidR="006B7CAC">
        <w:t xml:space="preserve"> of the cathedral</w:t>
      </w:r>
      <w:r w:rsidR="00D86B1D">
        <w:t xml:space="preserve"> is lost to history, not there anymore, but with the digital reconstructions of the </w:t>
      </w:r>
      <w:r w:rsidR="00D86B1D" w:rsidRPr="00DE7342">
        <w:rPr>
          <w:i/>
        </w:rPr>
        <w:t>Virtual Paul’s Cross Project</w:t>
      </w:r>
      <w:r w:rsidR="006B7CAC">
        <w:t>, it can now be visualize</w:t>
      </w:r>
      <w:r w:rsidR="00503049">
        <w:t>d</w:t>
      </w:r>
      <w:r w:rsidR="006B7CAC">
        <w:t xml:space="preserve"> again</w:t>
      </w:r>
      <w:r w:rsidR="00D86B1D">
        <w:t xml:space="preserve">. </w:t>
      </w:r>
      <w:r w:rsidR="008F684C">
        <w:t>The churchyard featured the Paul’s Cross</w:t>
      </w:r>
      <w:r>
        <w:t xml:space="preserve"> pulpit</w:t>
      </w:r>
      <w:r w:rsidR="006B7CAC">
        <w:t>,</w:t>
      </w:r>
      <w:r>
        <w:t xml:space="preserve"> and t</w:t>
      </w:r>
      <w:r w:rsidR="008F684C">
        <w:t>his unique pub</w:t>
      </w:r>
      <w:r w:rsidR="00D86B1D">
        <w:t xml:space="preserve">lic space echoed with </w:t>
      </w:r>
      <w:r w:rsidR="00503049">
        <w:t>R</w:t>
      </w:r>
      <w:r w:rsidR="0004538E">
        <w:t xml:space="preserve">eformed church </w:t>
      </w:r>
      <w:r w:rsidR="008F684C">
        <w:t xml:space="preserve">sermons from </w:t>
      </w:r>
      <w:r w:rsidR="0004538E">
        <w:t>the beginning of the Elizabethan period</w:t>
      </w:r>
      <w:r w:rsidR="00160887">
        <w:t>. B</w:t>
      </w:r>
      <w:r w:rsidR="008F684C">
        <w:t>ookshops</w:t>
      </w:r>
      <w:r w:rsidR="00160887">
        <w:t xml:space="preserve"> increasingly flanked this area</w:t>
      </w:r>
      <w:r w:rsidR="008F684C">
        <w:t xml:space="preserve"> during the Elizabethan period, making the churchyard the center of the book</w:t>
      </w:r>
      <w:r w:rsidR="00503049">
        <w:t>-</w:t>
      </w:r>
      <w:r w:rsidR="008F684C">
        <w:t>selling industry</w:t>
      </w:r>
      <w:r w:rsidR="00CB77D8">
        <w:t xml:space="preserve"> before and during Shakespeare’s time</w:t>
      </w:r>
      <w:r w:rsidR="00160887">
        <w:t xml:space="preserve">. </w:t>
      </w:r>
      <w:r w:rsidR="0004538E">
        <w:t>Controversial</w:t>
      </w:r>
      <w:r w:rsidR="00FD57BE">
        <w:t xml:space="preserve"> and often dramatic</w:t>
      </w:r>
      <w:r w:rsidR="0004538E">
        <w:t xml:space="preserve"> s</w:t>
      </w:r>
      <w:r w:rsidR="008F684C">
        <w:t>e</w:t>
      </w:r>
      <w:r w:rsidR="0004538E">
        <w:t>rmons from Paul’s Cross</w:t>
      </w:r>
      <w:r>
        <w:t xml:space="preserve"> </w:t>
      </w:r>
      <w:r w:rsidR="008F684C">
        <w:t xml:space="preserve">echoed religious print held by these </w:t>
      </w:r>
      <w:r w:rsidR="00FD57BE">
        <w:t xml:space="preserve">enclosing </w:t>
      </w:r>
      <w:r w:rsidR="008F684C">
        <w:t>bookshops</w:t>
      </w:r>
      <w:r>
        <w:t xml:space="preserve"> and, in turn, were </w:t>
      </w:r>
      <w:r w:rsidR="00160887">
        <w:t xml:space="preserve">at times </w:t>
      </w:r>
      <w:r w:rsidR="0004538E">
        <w:t>formed</w:t>
      </w:r>
      <w:r>
        <w:t xml:space="preserve"> into print</w:t>
      </w:r>
      <w:r w:rsidR="00772F9B">
        <w:t xml:space="preserve"> </w:t>
      </w:r>
      <w:r w:rsidR="0004538E">
        <w:t xml:space="preserve">editions </w:t>
      </w:r>
      <w:r w:rsidR="00772F9B">
        <w:t xml:space="preserve">and sold from </w:t>
      </w:r>
      <w:r w:rsidR="0004538E">
        <w:t>the same stores</w:t>
      </w:r>
      <w:r w:rsidR="008F684C">
        <w:t xml:space="preserve">. </w:t>
      </w:r>
    </w:p>
    <w:p w14:paraId="40579FD4" w14:textId="70317E7B" w:rsidR="008F684C" w:rsidRDefault="008F684C" w:rsidP="00CE7E36">
      <w:pPr>
        <w:widowControl w:val="0"/>
        <w:spacing w:line="320" w:lineRule="exact"/>
        <w:ind w:firstLine="720"/>
      </w:pPr>
      <w:r>
        <w:t xml:space="preserve">Decades </w:t>
      </w:r>
      <w:r w:rsidR="00661FCF">
        <w:t xml:space="preserve">ago, it was speculated that </w:t>
      </w:r>
      <w:r>
        <w:t>Paul’s Cross</w:t>
      </w:r>
      <w:r w:rsidR="00DA0F7F">
        <w:t>, with its surrounding bookshops,</w:t>
      </w:r>
      <w:r>
        <w:t xml:space="preserve"> was </w:t>
      </w:r>
      <w:r w:rsidR="00692B03">
        <w:t xml:space="preserve">a </w:t>
      </w:r>
      <w:r w:rsidR="00032F25">
        <w:t xml:space="preserve">physical </w:t>
      </w:r>
      <w:r w:rsidR="00692B03">
        <w:t>prototype for</w:t>
      </w:r>
      <w:r w:rsidR="002E561D">
        <w:t xml:space="preserve"> the Elizabethan public amphitheatres that appeared </w:t>
      </w:r>
      <w:r w:rsidR="00032F25">
        <w:t xml:space="preserve">nearby </w:t>
      </w:r>
      <w:r w:rsidR="002E561D">
        <w:t>before and during Shakespeare’s time</w:t>
      </w:r>
      <w:r>
        <w:t>.</w:t>
      </w:r>
      <w:r w:rsidR="00F47C24">
        <w:t xml:space="preserve"> The challenge of this particular project is</w:t>
      </w:r>
      <w:r w:rsidR="00032F25">
        <w:t xml:space="preserve"> t</w:t>
      </w:r>
      <w:r w:rsidR="00772F9B">
        <w:t xml:space="preserve">o examine </w:t>
      </w:r>
      <w:r w:rsidR="00032F25">
        <w:t>another prototype</w:t>
      </w:r>
      <w:r w:rsidR="00503049">
        <w:t>—</w:t>
      </w:r>
      <w:r w:rsidR="00032F25">
        <w:t>that is, the prototype of consciousness that developed in the churchyard and that made popular amphitheatre performances possible</w:t>
      </w:r>
      <w:r w:rsidR="00881E0B">
        <w:t xml:space="preserve"> and indeed help</w:t>
      </w:r>
      <w:r w:rsidR="00FD57BE">
        <w:t>ed</w:t>
      </w:r>
      <w:r w:rsidR="00881E0B">
        <w:t xml:space="preserve"> to sustain the public theatre for a period</w:t>
      </w:r>
      <w:r w:rsidR="00032F25">
        <w:t xml:space="preserve">. The key to drawing the public to the theatre was to stage plays that echoed popular print and public discourse, specifically in the </w:t>
      </w:r>
      <w:r w:rsidR="00701EB3">
        <w:t>Paul’s Cross C</w:t>
      </w:r>
      <w:r w:rsidR="00736CB8">
        <w:t>hurchyard and in the cat</w:t>
      </w:r>
      <w:r w:rsidR="00BC2469">
        <w:t>hedral nave, Paul’s Walk</w:t>
      </w:r>
      <w:r w:rsidR="00736CB8">
        <w:t>.</w:t>
      </w:r>
      <w:r w:rsidR="00032F25">
        <w:t xml:space="preserve"> </w:t>
      </w:r>
    </w:p>
    <w:p w14:paraId="7C9B4BD3" w14:textId="77777777" w:rsidR="00736CB8" w:rsidRDefault="00701EB3" w:rsidP="00CE7E36">
      <w:pPr>
        <w:widowControl w:val="0"/>
        <w:spacing w:line="320" w:lineRule="exact"/>
        <w:ind w:firstLine="720"/>
      </w:pPr>
      <w:r>
        <w:lastRenderedPageBreak/>
        <w:t xml:space="preserve">From the </w:t>
      </w:r>
      <w:r w:rsidR="00133294">
        <w:t xml:space="preserve">records </w:t>
      </w:r>
      <w:r>
        <w:t xml:space="preserve">that remain </w:t>
      </w:r>
      <w:r w:rsidR="00133294">
        <w:t xml:space="preserve">of </w:t>
      </w:r>
      <w:r w:rsidR="00697889">
        <w:t xml:space="preserve">lost </w:t>
      </w:r>
      <w:r>
        <w:t xml:space="preserve">Elizabethan </w:t>
      </w:r>
      <w:r w:rsidR="00697889">
        <w:t>plays</w:t>
      </w:r>
      <w:r>
        <w:t xml:space="preserve"> before Shakespeare</w:t>
      </w:r>
      <w:r w:rsidR="00697889">
        <w:t xml:space="preserve">, </w:t>
      </w:r>
      <w:r w:rsidR="00736CB8">
        <w:t>those plays that are no</w:t>
      </w:r>
      <w:r w:rsidR="00A93C9D">
        <w:t>t</w:t>
      </w:r>
      <w:r w:rsidR="00736CB8">
        <w:t xml:space="preserve"> there but that in some ways are, </w:t>
      </w:r>
      <w:r>
        <w:t>we can find</w:t>
      </w:r>
      <w:r w:rsidR="00697889">
        <w:t xml:space="preserve"> clues to indicate the relations</w:t>
      </w:r>
      <w:r>
        <w:t>hip between churchyard</w:t>
      </w:r>
      <w:r w:rsidR="00697889">
        <w:t xml:space="preserve"> </w:t>
      </w:r>
      <w:r>
        <w:t xml:space="preserve">culture </w:t>
      </w:r>
      <w:r w:rsidR="00697889">
        <w:t xml:space="preserve">and public theatres. From information that can quickly be accessed at </w:t>
      </w:r>
      <w:r w:rsidR="00697889" w:rsidRPr="00736CB8">
        <w:rPr>
          <w:i/>
        </w:rPr>
        <w:t>Lost Plays Database</w:t>
      </w:r>
      <w:r w:rsidR="00697889">
        <w:t>, i</w:t>
      </w:r>
      <w:r w:rsidR="00133294">
        <w:t xml:space="preserve">t is abundantly clear that </w:t>
      </w:r>
      <w:r w:rsidR="006607FD">
        <w:t xml:space="preserve">Elizabethan </w:t>
      </w:r>
      <w:r w:rsidR="00133294">
        <w:t xml:space="preserve">dramatists before Shakespeare drew from </w:t>
      </w:r>
      <w:r w:rsidR="00697889">
        <w:t xml:space="preserve">popular stories </w:t>
      </w:r>
      <w:r w:rsidR="006607FD">
        <w:t xml:space="preserve">and themes that were </w:t>
      </w:r>
      <w:r w:rsidR="00697889">
        <w:t>on sale in courtyard bookshops</w:t>
      </w:r>
      <w:r w:rsidR="006607FD">
        <w:t xml:space="preserve"> in order to craft</w:t>
      </w:r>
      <w:r w:rsidR="00133294">
        <w:t xml:space="preserve"> plays for </w:t>
      </w:r>
      <w:r w:rsidR="006607FD">
        <w:t>the early public amphitheatres</w:t>
      </w:r>
      <w:r w:rsidR="00133294">
        <w:t xml:space="preserve">. From </w:t>
      </w:r>
      <w:r w:rsidR="006607FD">
        <w:t>the 1590s</w:t>
      </w:r>
      <w:r w:rsidR="00133294">
        <w:t xml:space="preserve"> on</w:t>
      </w:r>
      <w:r w:rsidR="006607FD">
        <w:t xml:space="preserve">ward, an increasing number of </w:t>
      </w:r>
      <w:r w:rsidR="00133294">
        <w:t>plays were preserved</w:t>
      </w:r>
      <w:r w:rsidR="006607FD">
        <w:t xml:space="preserve"> in print, and of course from these editions we</w:t>
      </w:r>
      <w:r w:rsidR="007B3188">
        <w:t xml:space="preserve"> can link </w:t>
      </w:r>
      <w:r w:rsidR="00FC053A">
        <w:t>specific references echoed within</w:t>
      </w:r>
      <w:r w:rsidR="00925C33">
        <w:t xml:space="preserve"> amphitheatre performances</w:t>
      </w:r>
      <w:r w:rsidR="007B3188">
        <w:t xml:space="preserve"> more acutely to courtyard culture</w:t>
      </w:r>
      <w:r w:rsidR="00925C33">
        <w:t>.</w:t>
      </w:r>
      <w:r w:rsidR="00FC053A">
        <w:t xml:space="preserve"> </w:t>
      </w:r>
      <w:r w:rsidR="003074DA">
        <w:t xml:space="preserve">For instance, through </w:t>
      </w:r>
      <w:r w:rsidR="003074DA" w:rsidRPr="00A93C9D">
        <w:rPr>
          <w:i/>
        </w:rPr>
        <w:t>EEBO-TCP</w:t>
      </w:r>
      <w:r w:rsidR="003074DA">
        <w:t xml:space="preserve"> and </w:t>
      </w:r>
      <w:r w:rsidR="003074DA" w:rsidRPr="00A93C9D">
        <w:rPr>
          <w:i/>
        </w:rPr>
        <w:t>ESTC</w:t>
      </w:r>
      <w:r w:rsidR="003074DA">
        <w:t xml:space="preserve"> searches, the relationship between churchyard and public stage can be established quickly and with more certainty.</w:t>
      </w:r>
    </w:p>
    <w:p w14:paraId="6CB8C640" w14:textId="4148CBCD" w:rsidR="00A93C9D" w:rsidRDefault="007B3188" w:rsidP="00CE7E36">
      <w:pPr>
        <w:widowControl w:val="0"/>
        <w:spacing w:line="320" w:lineRule="exact"/>
        <w:ind w:firstLine="720"/>
      </w:pPr>
      <w:r>
        <w:t>Shakespeare’s</w:t>
      </w:r>
      <w:r w:rsidR="002C094D">
        <w:t xml:space="preserve"> </w:t>
      </w:r>
      <w:r w:rsidR="002C094D" w:rsidRPr="006A259C">
        <w:rPr>
          <w:i/>
        </w:rPr>
        <w:t>Romeo and Juliet</w:t>
      </w:r>
      <w:r w:rsidR="00C4560D">
        <w:t xml:space="preserve"> </w:t>
      </w:r>
      <w:r w:rsidR="005E55DB">
        <w:t xml:space="preserve">follows </w:t>
      </w:r>
      <w:r w:rsidR="003074DA">
        <w:t xml:space="preserve">from </w:t>
      </w:r>
      <w:r w:rsidR="005E55DB">
        <w:t>the</w:t>
      </w:r>
      <w:r w:rsidR="00C4560D">
        <w:t xml:space="preserve"> set formula for</w:t>
      </w:r>
      <w:r w:rsidR="005E55DB">
        <w:t xml:space="preserve"> drawing </w:t>
      </w:r>
      <w:r w:rsidR="00516CE1">
        <w:t>dramatic titles</w:t>
      </w:r>
      <w:r w:rsidR="00C4560D">
        <w:t xml:space="preserve"> from</w:t>
      </w:r>
      <w:r w:rsidR="005E55DB">
        <w:t xml:space="preserve"> popular print editions</w:t>
      </w:r>
      <w:r w:rsidR="00C4560D">
        <w:t xml:space="preserve"> in Paul’s Cross Churchyard</w:t>
      </w:r>
      <w:r w:rsidR="00FD57BE">
        <w:t>. Looking more closely at the text, i</w:t>
      </w:r>
      <w:r w:rsidR="00C4560D">
        <w:t>n Shakespeare’s version</w:t>
      </w:r>
      <w:r w:rsidR="00FD57BE">
        <w:t>,</w:t>
      </w:r>
      <w:r>
        <w:t xml:space="preserve"> </w:t>
      </w:r>
      <w:r w:rsidR="002C094D">
        <w:t xml:space="preserve">Mercutio </w:t>
      </w:r>
      <w:r w:rsidR="00C4560D">
        <w:t xml:space="preserve">in particular </w:t>
      </w:r>
      <w:r w:rsidR="002C094D">
        <w:t>make</w:t>
      </w:r>
      <w:r w:rsidR="00736CB8">
        <w:t>s</w:t>
      </w:r>
      <w:r w:rsidR="002C094D">
        <w:t xml:space="preserve"> a </w:t>
      </w:r>
      <w:r w:rsidR="006C2EAE">
        <w:t>number of seemingly haphazard</w:t>
      </w:r>
      <w:r w:rsidR="00736CB8">
        <w:t xml:space="preserve"> </w:t>
      </w:r>
      <w:r w:rsidR="002C094D">
        <w:t>reference</w:t>
      </w:r>
      <w:r w:rsidR="00736CB8">
        <w:t>s that have kept</w:t>
      </w:r>
      <w:r w:rsidR="00A93C9D">
        <w:t xml:space="preserve"> </w:t>
      </w:r>
      <w:r w:rsidR="003074DA">
        <w:t xml:space="preserve">textual </w:t>
      </w:r>
      <w:r w:rsidR="00A93C9D">
        <w:t>scholars busy</w:t>
      </w:r>
      <w:r w:rsidR="003074DA">
        <w:t xml:space="preserve"> and sometimes vexed</w:t>
      </w:r>
      <w:r w:rsidR="00A93C9D">
        <w:t xml:space="preserve"> for ages</w:t>
      </w:r>
      <w:r w:rsidR="002C094D">
        <w:t xml:space="preserve">. </w:t>
      </w:r>
      <w:r w:rsidR="00E13CF9">
        <w:t>With d</w:t>
      </w:r>
      <w:r w:rsidR="00BE53D1">
        <w:t>igital searches</w:t>
      </w:r>
      <w:r w:rsidR="00503049">
        <w:t>,</w:t>
      </w:r>
      <w:r w:rsidR="00BE53D1">
        <w:t xml:space="preserve"> </w:t>
      </w:r>
      <w:r w:rsidR="00A93C9D">
        <w:t>Mercutio’s reference</w:t>
      </w:r>
      <w:r w:rsidR="00E13CF9">
        <w:t>s, for instance</w:t>
      </w:r>
      <w:r w:rsidR="00BE53D1">
        <w:t>,</w:t>
      </w:r>
      <w:r w:rsidR="00A93C9D">
        <w:t xml:space="preserve"> to the names of </w:t>
      </w:r>
      <w:r w:rsidR="00E13CF9">
        <w:t xml:space="preserve">classical and </w:t>
      </w:r>
      <w:r w:rsidR="00A93C9D">
        <w:t>romantic heroines</w:t>
      </w:r>
      <w:r w:rsidR="00BE53D1">
        <w:t xml:space="preserve"> in lyric poems</w:t>
      </w:r>
      <w:r w:rsidR="00E13CF9">
        <w:t xml:space="preserve">, the </w:t>
      </w:r>
      <w:r w:rsidR="00FD57BE">
        <w:t xml:space="preserve">further </w:t>
      </w:r>
      <w:r w:rsidR="00E13CF9">
        <w:t xml:space="preserve">references to sword fighting and to Tybalt’s continental pretentions, can </w:t>
      </w:r>
      <w:r w:rsidR="00FD57BE">
        <w:t xml:space="preserve">all </w:t>
      </w:r>
      <w:r w:rsidR="00E13CF9">
        <w:t>be directly linked</w:t>
      </w:r>
      <w:r w:rsidR="00A93C9D">
        <w:t xml:space="preserve"> </w:t>
      </w:r>
      <w:r w:rsidR="00E13CF9">
        <w:t>to</w:t>
      </w:r>
      <w:r w:rsidR="006C2EAE">
        <w:t xml:space="preserve"> </w:t>
      </w:r>
      <w:r w:rsidR="00E13CF9">
        <w:t xml:space="preserve">print </w:t>
      </w:r>
      <w:r w:rsidR="006C2EAE">
        <w:t xml:space="preserve">editions </w:t>
      </w:r>
      <w:r w:rsidR="00E13CF9">
        <w:t>held in</w:t>
      </w:r>
      <w:r w:rsidR="00A93C9D">
        <w:t xml:space="preserve"> churchyard bookshops</w:t>
      </w:r>
      <w:r w:rsidR="00E13CF9">
        <w:t xml:space="preserve"> and to the presumed reception of these editions among young gallants</w:t>
      </w:r>
      <w:r w:rsidR="00FD57BE">
        <w:t xml:space="preserve"> even within the church precinct</w:t>
      </w:r>
      <w:r w:rsidR="00E13CF9">
        <w:t>. These links occur in many cases no more than</w:t>
      </w:r>
      <w:r w:rsidR="006C2EAE">
        <w:t xml:space="preserve"> two or three </w:t>
      </w:r>
      <w:r w:rsidR="00BC2469">
        <w:t xml:space="preserve">years </w:t>
      </w:r>
      <w:r w:rsidR="006C2EAE">
        <w:t>before the performance of the play</w:t>
      </w:r>
      <w:r w:rsidR="00BE53D1">
        <w:t>,</w:t>
      </w:r>
      <w:r w:rsidR="00B36584">
        <w:t xml:space="preserve"> first at </w:t>
      </w:r>
      <w:r w:rsidR="00503049">
        <w:t>t</w:t>
      </w:r>
      <w:r w:rsidR="00B36584">
        <w:t xml:space="preserve">he Theatre playhouse and then at the Globe. The there-ness </w:t>
      </w:r>
      <w:r w:rsidR="00FD57BE">
        <w:t>of such relationships become</w:t>
      </w:r>
      <w:r w:rsidR="00B36584">
        <w:t xml:space="preserve"> unce</w:t>
      </w:r>
      <w:r w:rsidR="00FD57BE">
        <w:t xml:space="preserve">rtain when we </w:t>
      </w:r>
      <w:r w:rsidR="00B36584">
        <w:t>attempt to link</w:t>
      </w:r>
      <w:r w:rsidR="006C2EAE">
        <w:t xml:space="preserve"> Mercutio’s</w:t>
      </w:r>
      <w:r w:rsidR="00B36584">
        <w:t xml:space="preserve"> description of Tybalt to what </w:t>
      </w:r>
      <w:r w:rsidR="00A93C9D">
        <w:t xml:space="preserve">we know about the behavior of young gallants in the St </w:t>
      </w:r>
      <w:r w:rsidR="00515E3B">
        <w:t>Paul’s precinct</w:t>
      </w:r>
      <w:r w:rsidR="00BE53D1">
        <w:t>, although such considerations are intriguing</w:t>
      </w:r>
      <w:r w:rsidR="00B36584">
        <w:t xml:space="preserve">. </w:t>
      </w:r>
      <w:r w:rsidR="00BE53D1">
        <w:t xml:space="preserve">Digital searches also tempt us to hear the echoes of </w:t>
      </w:r>
      <w:r w:rsidR="00B36584">
        <w:t>Thomas Nashe</w:t>
      </w:r>
      <w:r w:rsidR="00BE53D1">
        <w:t>’s satiric attacks on</w:t>
      </w:r>
      <w:r w:rsidR="00B36584">
        <w:t xml:space="preserve"> Robert Green in Mercutio’s character. The attempt to use digital searches and re</w:t>
      </w:r>
      <w:r w:rsidR="00503049">
        <w:t>-</w:t>
      </w:r>
      <w:r w:rsidR="00B36584">
        <w:t>creations to determine the</w:t>
      </w:r>
      <w:r w:rsidR="00515E3B">
        <w:t xml:space="preserve"> extent </w:t>
      </w:r>
      <w:r w:rsidR="00B36584">
        <w:t xml:space="preserve">that </w:t>
      </w:r>
      <w:r w:rsidR="00515E3B">
        <w:t>Tybalt might be a caricature of an actual person, though, migh</w:t>
      </w:r>
      <w:r w:rsidR="00BE53D1">
        <w:t>t quickly lead</w:t>
      </w:r>
      <w:r w:rsidR="00B36584">
        <w:t xml:space="preserve"> us into the nothing</w:t>
      </w:r>
      <w:r w:rsidR="00515E3B">
        <w:t xml:space="preserve"> that is </w:t>
      </w:r>
      <w:r w:rsidR="00B36584">
        <w:t xml:space="preserve">really </w:t>
      </w:r>
      <w:r w:rsidR="00515E3B">
        <w:t>not there.</w:t>
      </w:r>
    </w:p>
    <w:p w14:paraId="079A74F9" w14:textId="20BF48D9" w:rsidR="00A93C9D" w:rsidRDefault="00DF635C" w:rsidP="00CE7E36">
      <w:pPr>
        <w:widowControl w:val="0"/>
        <w:spacing w:line="320" w:lineRule="exact"/>
        <w:ind w:firstLine="720"/>
      </w:pPr>
      <w:r>
        <w:t>Current search methodologies</w:t>
      </w:r>
      <w:r w:rsidR="00515E3B">
        <w:t xml:space="preserve"> </w:t>
      </w:r>
      <w:r>
        <w:t>and visual re</w:t>
      </w:r>
      <w:r w:rsidR="00503049">
        <w:t>-</w:t>
      </w:r>
      <w:r>
        <w:t>crea</w:t>
      </w:r>
      <w:r w:rsidR="00B160EA">
        <w:t>tions could be supplemented by</w:t>
      </w:r>
      <w:r>
        <w:t xml:space="preserve"> small digital platforms that </w:t>
      </w:r>
      <w:r w:rsidR="00B160EA">
        <w:t xml:space="preserve">mine and input information and that eventually </w:t>
      </w:r>
      <w:r>
        <w:t>give us the</w:t>
      </w:r>
      <w:r w:rsidR="00B36584">
        <w:t xml:space="preserve"> ability to access bookstore </w:t>
      </w:r>
      <w:r>
        <w:t xml:space="preserve">and other </w:t>
      </w:r>
      <w:r w:rsidR="00B36584">
        <w:t>information quickly</w:t>
      </w:r>
      <w:r w:rsidR="00515E3B">
        <w:t>.</w:t>
      </w:r>
      <w:r w:rsidR="0099593A">
        <w:t xml:space="preserve"> </w:t>
      </w:r>
      <w:r w:rsidR="00C83D62">
        <w:t xml:space="preserve">Among several suggestions for </w:t>
      </w:r>
      <w:r>
        <w:t>a small data digital effort that would not require the enormous amount of data input that burdens larger efforts would be</w:t>
      </w:r>
      <w:r w:rsidR="008500E7">
        <w:t xml:space="preserve"> a project that makes a searchable database of</w:t>
      </w:r>
      <w:r w:rsidR="00C83D62">
        <w:t xml:space="preserve"> the ownerships</w:t>
      </w:r>
      <w:r w:rsidR="008500E7">
        <w:t xml:space="preserve">, leases, and primary holdings of select </w:t>
      </w:r>
      <w:r w:rsidR="00C83D62">
        <w:t>courtyard bookshop</w:t>
      </w:r>
      <w:r w:rsidR="008500E7">
        <w:t>s</w:t>
      </w:r>
      <w:r w:rsidR="00C83D62">
        <w:t xml:space="preserve"> specifically during the 1590s</w:t>
      </w:r>
      <w:r w:rsidR="00B160EA">
        <w:t>. This type of resource</w:t>
      </w:r>
      <w:r w:rsidR="00C83D62">
        <w:t xml:space="preserve"> would be </w:t>
      </w:r>
      <w:r w:rsidR="00B160EA">
        <w:t xml:space="preserve">enormously </w:t>
      </w:r>
      <w:r w:rsidR="00C83D62">
        <w:t>helpful</w:t>
      </w:r>
      <w:r w:rsidR="00B160EA">
        <w:t xml:space="preserve"> to scholars and editors</w:t>
      </w:r>
      <w:r w:rsidR="00BE53D1">
        <w:t>, particularly if the database</w:t>
      </w:r>
      <w:r w:rsidR="00C83D62">
        <w:t xml:space="preserve"> could be </w:t>
      </w:r>
      <w:r w:rsidR="00503049">
        <w:t xml:space="preserve">corroborated </w:t>
      </w:r>
      <w:r w:rsidR="00C83D62">
        <w:t xml:space="preserve">with references </w:t>
      </w:r>
      <w:r w:rsidR="00B160EA">
        <w:t xml:space="preserve">to popular discourse and to </w:t>
      </w:r>
      <w:r w:rsidR="00C83D62">
        <w:t xml:space="preserve">stage plays that were performed during </w:t>
      </w:r>
      <w:r w:rsidR="00B160EA">
        <w:t>or close to</w:t>
      </w:r>
      <w:r w:rsidR="00B36584">
        <w:t xml:space="preserve"> </w:t>
      </w:r>
      <w:r w:rsidR="00C83D62">
        <w:t xml:space="preserve">that decade. </w:t>
      </w:r>
    </w:p>
    <w:p w14:paraId="73B9D8E0" w14:textId="77777777" w:rsidR="008F684C" w:rsidRDefault="008F684C" w:rsidP="00CE7E36">
      <w:pPr>
        <w:spacing w:line="320" w:lineRule="exact"/>
        <w:ind w:firstLine="72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F684C" w:rsidSect="00F47DE6">
      <w:headerReference w:type="default" r:id="rId7"/>
      <w:footerReference w:type="even" r:id="rId8"/>
      <w:footerReference w:type="default" r:id="rId9"/>
      <w:endnotePr>
        <w:numFmt w:val="decimal"/>
      </w:endnotePr>
      <w:pgSz w:w="12240" w:h="15840"/>
      <w:pgMar w:top="1574" w:right="1440" w:bottom="1000" w:left="1440" w:header="720" w:footer="60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16B40" w14:textId="77777777" w:rsidR="000014A1" w:rsidRDefault="000014A1">
      <w:r>
        <w:separator/>
      </w:r>
    </w:p>
  </w:endnote>
  <w:endnote w:type="continuationSeparator" w:id="0">
    <w:p w14:paraId="008D0B8D" w14:textId="77777777" w:rsidR="000014A1" w:rsidRDefault="0000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-Bold">
    <w:altName w:val="Taho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3AD1F" w14:textId="77777777" w:rsidR="00F47DE6" w:rsidRDefault="00F47DE6" w:rsidP="00DB4F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853ACD" w14:textId="77777777" w:rsidR="00F47DE6" w:rsidRDefault="00F47D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C301D" w14:textId="77777777" w:rsidR="00F47DE6" w:rsidRDefault="00F47DE6" w:rsidP="00DB4F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501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7EA4B3" w14:textId="77777777" w:rsidR="00BE53D1" w:rsidRDefault="00BE53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014B2" w14:textId="77777777" w:rsidR="000014A1" w:rsidRDefault="000014A1">
      <w:r>
        <w:separator/>
      </w:r>
    </w:p>
  </w:footnote>
  <w:footnote w:type="continuationSeparator" w:id="0">
    <w:p w14:paraId="18E43787" w14:textId="77777777" w:rsidR="000014A1" w:rsidRDefault="00001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FE8C6" w14:textId="4D6D73A4" w:rsidR="00BE53D1" w:rsidRDefault="00BE53D1" w:rsidP="00BF0D54">
    <w:pPr>
      <w:pStyle w:val="Header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ab/>
    </w:r>
    <w:r>
      <w:rPr>
        <w:rFonts w:cs="Times New Roman"/>
        <w:sz w:val="20"/>
        <w:szCs w:val="20"/>
      </w:rPr>
      <w:tab/>
    </w:r>
    <w:r>
      <w:rPr>
        <w:rFonts w:cs="Times New Roman"/>
        <w:sz w:val="20"/>
        <w:szCs w:val="20"/>
      </w:rPr>
      <w:tab/>
    </w:r>
    <w:r>
      <w:rPr>
        <w:rFonts w:cs="Times New Roman"/>
        <w:sz w:val="20"/>
        <w:szCs w:val="20"/>
      </w:rPr>
      <w:tab/>
    </w:r>
    <w:r>
      <w:rPr>
        <w:rFonts w:cs="Times New Roman"/>
        <w:sz w:val="20"/>
        <w:szCs w:val="20"/>
      </w:rPr>
      <w:tab/>
    </w:r>
    <w:r>
      <w:rPr>
        <w:rFonts w:cs="Times New Roman"/>
        <w:sz w:val="20"/>
        <w:szCs w:val="20"/>
      </w:rPr>
      <w:tab/>
    </w:r>
    <w:r>
      <w:rPr>
        <w:rFonts w:cs="Times New Roman"/>
        <w:sz w:val="20"/>
        <w:szCs w:val="20"/>
      </w:rPr>
      <w:tab/>
    </w:r>
    <w:r>
      <w:rPr>
        <w:rFonts w:cs="Times New Roman"/>
        <w:sz w:val="20"/>
        <w:szCs w:val="20"/>
      </w:rPr>
      <w:tab/>
    </w:r>
    <w:r>
      <w:rPr>
        <w:rFonts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DBE2"/>
    <w:multiLevelType w:val="hybridMultilevel"/>
    <w:tmpl w:val="00000000"/>
    <w:styleLink w:val="LetteredList"/>
    <w:lvl w:ilvl="0" w:tplc="FFFFFFFF">
      <w:start w:val="1"/>
      <w:numFmt w:val="lowerLetter"/>
      <w:lvlText w:val="%1."/>
      <w:lvlJc w:val="left"/>
      <w:pPr>
        <w:ind w:left="648" w:hanging="360"/>
      </w:pPr>
      <w:rPr>
        <w:rFonts w:cs="Times New Roman"/>
      </w:rPr>
    </w:lvl>
    <w:lvl w:ilvl="1" w:tplc="FFFFFFFF">
      <w:start w:val="1"/>
      <w:numFmt w:val="decimal"/>
      <w:lvlText w:val="%2."/>
      <w:lvlJc w:val="left"/>
      <w:pPr>
        <w:ind w:left="1008" w:hanging="360"/>
      </w:pPr>
      <w:rPr>
        <w:rFonts w:cs="Times New Roman"/>
      </w:rPr>
    </w:lvl>
    <w:lvl w:ilvl="2" w:tplc="FFFFFFFF">
      <w:start w:val="1"/>
      <w:numFmt w:val="lowerRoman"/>
      <w:lvlText w:val="%3."/>
      <w:lvlJc w:val="left"/>
      <w:pPr>
        <w:ind w:left="1368" w:hanging="360"/>
      </w:pPr>
      <w:rPr>
        <w:rFonts w:cs="Times New Roman"/>
      </w:rPr>
    </w:lvl>
    <w:lvl w:ilvl="3" w:tplc="FFFFFFFF">
      <w:start w:val="1"/>
      <w:numFmt w:val="lowerLetter"/>
      <w:lvlText w:val="(%4)"/>
      <w:lvlJc w:val="left"/>
      <w:pPr>
        <w:ind w:left="1728" w:hanging="360"/>
      </w:pPr>
      <w:rPr>
        <w:rFonts w:cs="Times New Roman"/>
      </w:rPr>
    </w:lvl>
    <w:lvl w:ilvl="4" w:tplc="FFFFFFFF">
      <w:start w:val="1"/>
      <w:numFmt w:val="decimal"/>
      <w:lvlText w:val="(%5)"/>
      <w:lvlJc w:val="left"/>
      <w:pPr>
        <w:ind w:left="2088" w:hanging="360"/>
      </w:pPr>
      <w:rPr>
        <w:rFonts w:cs="Times New Roman"/>
      </w:rPr>
    </w:lvl>
    <w:lvl w:ilvl="5" w:tplc="FFFFFFFF">
      <w:start w:val="1"/>
      <w:numFmt w:val="lowerRoman"/>
      <w:lvlText w:val="(%6)"/>
      <w:lvlJc w:val="left"/>
      <w:pPr>
        <w:ind w:left="2448" w:hanging="360"/>
      </w:pPr>
      <w:rPr>
        <w:rFonts w:cs="Times New Roman"/>
      </w:rPr>
    </w:lvl>
    <w:lvl w:ilvl="6" w:tplc="FFFFFFFF">
      <w:start w:val="1"/>
      <w:numFmt w:val="lowerLetter"/>
      <w:lvlText w:val="%7)"/>
      <w:lvlJc w:val="left"/>
      <w:pPr>
        <w:ind w:left="2808" w:hanging="360"/>
      </w:pPr>
      <w:rPr>
        <w:rFonts w:cs="Times New Roman"/>
      </w:rPr>
    </w:lvl>
    <w:lvl w:ilvl="7" w:tplc="FFFFFFFF">
      <w:start w:val="1"/>
      <w:numFmt w:val="decimal"/>
      <w:lvlText w:val="%8)"/>
      <w:lvlJc w:val="left"/>
      <w:pPr>
        <w:ind w:left="3168" w:hanging="360"/>
      </w:pPr>
      <w:rPr>
        <w:rFonts w:cs="Times New Roman"/>
      </w:rPr>
    </w:lvl>
    <w:lvl w:ilvl="8" w:tplc="FFFFFFFF">
      <w:start w:val="1"/>
      <w:numFmt w:val="lowerRoman"/>
      <w:lvlText w:val="%9)"/>
      <w:lvlJc w:val="left"/>
      <w:pPr>
        <w:ind w:left="3528" w:hanging="360"/>
      </w:pPr>
      <w:rPr>
        <w:rFonts w:cs="Times New Roman"/>
      </w:rPr>
    </w:lvl>
  </w:abstractNum>
  <w:abstractNum w:abstractNumId="1">
    <w:nsid w:val="06D7D4B3"/>
    <w:multiLevelType w:val="multilevel"/>
    <w:tmpl w:val="F5E0191A"/>
    <w:styleLink w:val="TieredList"/>
    <w:lvl w:ilvl="0">
      <w:start w:val="1"/>
      <w:numFmt w:val="decimal"/>
      <w:lvlText w:val="%1."/>
      <w:lvlJc w:val="left"/>
      <w:pPr>
        <w:ind w:left="648" w:hanging="648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868" w:hanging="868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088" w:hanging="1088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308" w:hanging="13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528" w:hanging="152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48" w:hanging="174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968" w:hanging="196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88" w:hanging="218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408" w:hanging="2408"/>
      </w:pPr>
      <w:rPr>
        <w:rFonts w:cs="Times New Roman"/>
      </w:rPr>
    </w:lvl>
  </w:abstractNum>
  <w:abstractNum w:abstractNumId="2">
    <w:nsid w:val="31169898"/>
    <w:multiLevelType w:val="hybridMultilevel"/>
    <w:tmpl w:val="00000000"/>
    <w:styleLink w:val="BulletList"/>
    <w:lvl w:ilvl="0" w:tplc="FFFFFFFF">
      <w:start w:val="1"/>
      <w:numFmt w:val="bullet"/>
      <w:lvlText w:val="•"/>
      <w:lvlJc w:val="left"/>
      <w:pPr>
        <w:ind w:left="648" w:hanging="360"/>
      </w:pPr>
    </w:lvl>
    <w:lvl w:ilvl="1" w:tplc="FFFFFFFF">
      <w:start w:val="1"/>
      <w:numFmt w:val="bullet"/>
      <w:lvlText w:val="•"/>
      <w:lvlJc w:val="left"/>
      <w:pPr>
        <w:ind w:left="1008" w:hanging="360"/>
      </w:pPr>
    </w:lvl>
    <w:lvl w:ilvl="2" w:tplc="FFFFFFFF">
      <w:start w:val="1"/>
      <w:numFmt w:val="bullet"/>
      <w:lvlText w:val="•"/>
      <w:lvlJc w:val="left"/>
      <w:pPr>
        <w:ind w:left="1368" w:hanging="360"/>
      </w:pPr>
    </w:lvl>
    <w:lvl w:ilvl="3" w:tplc="FFFFFFFF">
      <w:start w:val="1"/>
      <w:numFmt w:val="bullet"/>
      <w:lvlText w:val="•"/>
      <w:lvlJc w:val="left"/>
      <w:pPr>
        <w:ind w:left="1728" w:hanging="360"/>
      </w:pPr>
    </w:lvl>
    <w:lvl w:ilvl="4" w:tplc="FFFFFFFF">
      <w:start w:val="1"/>
      <w:numFmt w:val="bullet"/>
      <w:lvlText w:val="•"/>
      <w:lvlJc w:val="left"/>
      <w:pPr>
        <w:ind w:left="2088" w:hanging="360"/>
      </w:pPr>
    </w:lvl>
    <w:lvl w:ilvl="5" w:tplc="FFFFFFFF">
      <w:start w:val="1"/>
      <w:numFmt w:val="bullet"/>
      <w:lvlText w:val="•"/>
      <w:lvlJc w:val="left"/>
      <w:pPr>
        <w:ind w:left="2448" w:hanging="360"/>
      </w:pPr>
    </w:lvl>
    <w:lvl w:ilvl="6" w:tplc="FFFFFFFF">
      <w:start w:val="1"/>
      <w:numFmt w:val="bullet"/>
      <w:lvlText w:val="•"/>
      <w:lvlJc w:val="left"/>
      <w:pPr>
        <w:ind w:left="2808" w:hanging="360"/>
      </w:pPr>
    </w:lvl>
    <w:lvl w:ilvl="7" w:tplc="FFFFFFFF">
      <w:start w:val="1"/>
      <w:numFmt w:val="bullet"/>
      <w:lvlText w:val="•"/>
      <w:lvlJc w:val="left"/>
      <w:pPr>
        <w:ind w:left="3168" w:hanging="360"/>
      </w:pPr>
    </w:lvl>
    <w:lvl w:ilvl="8" w:tplc="FFFFFFFF">
      <w:start w:val="1"/>
      <w:numFmt w:val="bullet"/>
      <w:lvlText w:val="•"/>
      <w:lvlJc w:val="left"/>
      <w:pPr>
        <w:ind w:left="3528" w:hanging="360"/>
      </w:pPr>
    </w:lvl>
  </w:abstractNum>
  <w:abstractNum w:abstractNumId="3">
    <w:nsid w:val="427C3C55"/>
    <w:multiLevelType w:val="multilevel"/>
    <w:tmpl w:val="7576B5D6"/>
    <w:styleLink w:val="Headings"/>
    <w:lvl w:ilvl="0">
      <w:start w:val="1"/>
      <w:numFmt w:val="decimal"/>
      <w:lvlText w:val="%1."/>
      <w:lvlJc w:val="left"/>
      <w:pPr>
        <w:ind w:left="576" w:hanging="576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6" w:hanging="79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016" w:hanging="1016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236" w:hanging="1236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456" w:hanging="145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676" w:hanging="167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896" w:hanging="189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16" w:hanging="2116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336" w:hanging="2336"/>
      </w:pPr>
      <w:rPr>
        <w:rFonts w:cs="Times New Roman"/>
      </w:rPr>
    </w:lvl>
  </w:abstractNum>
  <w:abstractNum w:abstractNumId="4">
    <w:nsid w:val="6A5D128C"/>
    <w:multiLevelType w:val="hybridMultilevel"/>
    <w:tmpl w:val="00000000"/>
    <w:styleLink w:val="NumberList"/>
    <w:lvl w:ilvl="0" w:tplc="FFFFFFFF">
      <w:start w:val="1"/>
      <w:numFmt w:val="decimal"/>
      <w:lvlText w:val="%1."/>
      <w:lvlJc w:val="left"/>
      <w:pPr>
        <w:ind w:left="720" w:hanging="432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080" w:hanging="431"/>
      </w:pPr>
      <w:rPr>
        <w:rFonts w:cs="Times New Roman"/>
      </w:rPr>
    </w:lvl>
    <w:lvl w:ilvl="2" w:tplc="FFFFFFFF">
      <w:start w:val="1"/>
      <w:numFmt w:val="lowerRoman"/>
      <w:lvlText w:val="%3."/>
      <w:lvlJc w:val="left"/>
      <w:pPr>
        <w:ind w:left="1440" w:hanging="431"/>
      </w:pPr>
      <w:rPr>
        <w:rFonts w:cs="Times New Roman"/>
      </w:rPr>
    </w:lvl>
    <w:lvl w:ilvl="3" w:tplc="FFFFFFFF">
      <w:start w:val="1"/>
      <w:numFmt w:val="decimal"/>
      <w:lvlText w:val="(%4)"/>
      <w:lvlJc w:val="left"/>
      <w:pPr>
        <w:ind w:left="1800" w:hanging="431"/>
      </w:pPr>
      <w:rPr>
        <w:rFonts w:cs="Times New Roman"/>
      </w:rPr>
    </w:lvl>
    <w:lvl w:ilvl="4" w:tplc="FFFFFFFF">
      <w:start w:val="1"/>
      <w:numFmt w:val="lowerLetter"/>
      <w:lvlText w:val="(%5)"/>
      <w:lvlJc w:val="left"/>
      <w:pPr>
        <w:ind w:left="2160" w:hanging="431"/>
      </w:pPr>
      <w:rPr>
        <w:rFonts w:cs="Times New Roman"/>
      </w:rPr>
    </w:lvl>
    <w:lvl w:ilvl="5" w:tplc="FFFFFFFF">
      <w:start w:val="1"/>
      <w:numFmt w:val="lowerRoman"/>
      <w:lvlText w:val="(%6)"/>
      <w:lvlJc w:val="left"/>
      <w:pPr>
        <w:ind w:left="2520" w:hanging="431"/>
      </w:pPr>
      <w:rPr>
        <w:rFonts w:cs="Times New Roman"/>
      </w:rPr>
    </w:lvl>
    <w:lvl w:ilvl="6" w:tplc="FFFFFFFF">
      <w:start w:val="1"/>
      <w:numFmt w:val="decimal"/>
      <w:lvlText w:val="%7)"/>
      <w:lvlJc w:val="left"/>
      <w:pPr>
        <w:ind w:left="2880" w:hanging="431"/>
      </w:pPr>
      <w:rPr>
        <w:rFonts w:cs="Times New Roman"/>
      </w:rPr>
    </w:lvl>
    <w:lvl w:ilvl="7" w:tplc="FFFFFFFF">
      <w:start w:val="1"/>
      <w:numFmt w:val="lowerLetter"/>
      <w:lvlText w:val="%8)"/>
      <w:lvlJc w:val="left"/>
      <w:pPr>
        <w:ind w:left="3240" w:hanging="432"/>
      </w:pPr>
      <w:rPr>
        <w:rFonts w:cs="Times New Roman"/>
      </w:rPr>
    </w:lvl>
    <w:lvl w:ilvl="8" w:tplc="FFFFFFFF">
      <w:start w:val="1"/>
      <w:numFmt w:val="lowerRoman"/>
      <w:lvlText w:val="%9)"/>
      <w:lvlJc w:val="left"/>
      <w:pPr>
        <w:ind w:left="3600" w:hanging="432"/>
      </w:pPr>
      <w:rPr>
        <w:rFonts w:cs="Times New Roman"/>
      </w:rPr>
    </w:lvl>
  </w:abstractNum>
  <w:abstractNum w:abstractNumId="5">
    <w:nsid w:val="77A4044D"/>
    <w:multiLevelType w:val="hybridMultilevel"/>
    <w:tmpl w:val="00000000"/>
    <w:styleLink w:val="Outline"/>
    <w:lvl w:ilvl="0" w:tplc="FFFFFFFF">
      <w:start w:val="1"/>
      <w:numFmt w:val="upperRoman"/>
      <w:lvlText w:val="%1."/>
      <w:lvlJc w:val="left"/>
      <w:pPr>
        <w:ind w:left="360" w:hanging="360"/>
      </w:pPr>
      <w:rPr>
        <w:rFonts w:cs="Times New Roman"/>
      </w:rPr>
    </w:lvl>
    <w:lvl w:ilvl="1" w:tplc="FFFFFFFF">
      <w:start w:val="1"/>
      <w:numFmt w:val="upperLetter"/>
      <w:lvlText w:val="%2."/>
      <w:lvlJc w:val="left"/>
      <w:pPr>
        <w:ind w:left="72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ind w:left="1080" w:hanging="360"/>
      </w:pPr>
      <w:rPr>
        <w:rFonts w:cs="Times New Roman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cs="Times New Roman"/>
      </w:rPr>
    </w:lvl>
    <w:lvl w:ilvl="4" w:tplc="FFFFFFFF">
      <w:start w:val="1"/>
      <w:numFmt w:val="decimal"/>
      <w:lvlText w:val="(%5)"/>
      <w:lvlJc w:val="left"/>
      <w:pPr>
        <w:ind w:left="1800" w:hanging="360"/>
      </w:pPr>
      <w:rPr>
        <w:rFonts w:cs="Times New Roman"/>
      </w:rPr>
    </w:lvl>
    <w:lvl w:ilvl="5" w:tplc="FFFFFFFF">
      <w:start w:val="1"/>
      <w:numFmt w:val="lowerLetter"/>
      <w:lvlText w:val="(%6)"/>
      <w:lvlJc w:val="left"/>
      <w:pPr>
        <w:ind w:left="2160" w:hanging="360"/>
      </w:pPr>
      <w:rPr>
        <w:rFonts w:cs="Times New Roman"/>
      </w:rPr>
    </w:lvl>
    <w:lvl w:ilvl="6" w:tplc="FFFFFFFF">
      <w:start w:val="1"/>
      <w:numFmt w:val="lowerRoman"/>
      <w:lvlText w:val="(%7)"/>
      <w:lvlJc w:val="left"/>
      <w:pPr>
        <w:ind w:left="2520" w:hanging="360"/>
      </w:pPr>
      <w:rPr>
        <w:rFonts w:cs="Times New Roman"/>
      </w:rPr>
    </w:lvl>
    <w:lvl w:ilvl="7" w:tplc="FFFFFFFF">
      <w:start w:val="1"/>
      <w:numFmt w:val="lowerLetter"/>
      <w:lvlText w:val="(%8)"/>
      <w:lvlJc w:val="left"/>
      <w:pPr>
        <w:ind w:left="2880" w:hanging="360"/>
      </w:pPr>
      <w:rPr>
        <w:rFonts w:cs="Times New Roman"/>
      </w:rPr>
    </w:lvl>
    <w:lvl w:ilvl="8" w:tplc="FFFFFFFF">
      <w:start w:val="1"/>
      <w:numFmt w:val="lowerRoman"/>
      <w:lvlText w:val="(%9)"/>
      <w:lvlJc w:val="left"/>
      <w:pPr>
        <w:ind w:left="3240" w:hanging="36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720"/>
  <w:hyphenationZone w:val="936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4C"/>
    <w:rsid w:val="000014A1"/>
    <w:rsid w:val="00023A0D"/>
    <w:rsid w:val="00032F25"/>
    <w:rsid w:val="0004538E"/>
    <w:rsid w:val="00064F77"/>
    <w:rsid w:val="000D2E1F"/>
    <w:rsid w:val="0011401C"/>
    <w:rsid w:val="00133294"/>
    <w:rsid w:val="00147BBE"/>
    <w:rsid w:val="00160887"/>
    <w:rsid w:val="00190DE1"/>
    <w:rsid w:val="001B1FA1"/>
    <w:rsid w:val="00241864"/>
    <w:rsid w:val="002578F5"/>
    <w:rsid w:val="00284CDC"/>
    <w:rsid w:val="002B537D"/>
    <w:rsid w:val="002C094D"/>
    <w:rsid w:val="002D26EE"/>
    <w:rsid w:val="002E561D"/>
    <w:rsid w:val="003074DA"/>
    <w:rsid w:val="0034060A"/>
    <w:rsid w:val="00357B25"/>
    <w:rsid w:val="003851BB"/>
    <w:rsid w:val="004059E9"/>
    <w:rsid w:val="00450AC6"/>
    <w:rsid w:val="0045560C"/>
    <w:rsid w:val="004573BE"/>
    <w:rsid w:val="0049467B"/>
    <w:rsid w:val="004958C9"/>
    <w:rsid w:val="00500F78"/>
    <w:rsid w:val="00503049"/>
    <w:rsid w:val="00510413"/>
    <w:rsid w:val="00515E3B"/>
    <w:rsid w:val="00516CE1"/>
    <w:rsid w:val="00517A96"/>
    <w:rsid w:val="00554697"/>
    <w:rsid w:val="0056501C"/>
    <w:rsid w:val="005A43E9"/>
    <w:rsid w:val="005E55DB"/>
    <w:rsid w:val="006607FD"/>
    <w:rsid w:val="00661FCF"/>
    <w:rsid w:val="0066456F"/>
    <w:rsid w:val="00692B03"/>
    <w:rsid w:val="00697889"/>
    <w:rsid w:val="006A259C"/>
    <w:rsid w:val="006A69E3"/>
    <w:rsid w:val="006B7CAC"/>
    <w:rsid w:val="006C2EAE"/>
    <w:rsid w:val="006C672C"/>
    <w:rsid w:val="006E26E9"/>
    <w:rsid w:val="00701EB3"/>
    <w:rsid w:val="007223B5"/>
    <w:rsid w:val="00731456"/>
    <w:rsid w:val="00736CB8"/>
    <w:rsid w:val="00755F20"/>
    <w:rsid w:val="00772F9B"/>
    <w:rsid w:val="007B3188"/>
    <w:rsid w:val="007E6EDA"/>
    <w:rsid w:val="008260ED"/>
    <w:rsid w:val="00846D71"/>
    <w:rsid w:val="008500E7"/>
    <w:rsid w:val="00881E0B"/>
    <w:rsid w:val="008F684C"/>
    <w:rsid w:val="00925C33"/>
    <w:rsid w:val="00963817"/>
    <w:rsid w:val="0099593A"/>
    <w:rsid w:val="009F2657"/>
    <w:rsid w:val="00A41E3E"/>
    <w:rsid w:val="00A47726"/>
    <w:rsid w:val="00A66D62"/>
    <w:rsid w:val="00A811D3"/>
    <w:rsid w:val="00A93C9D"/>
    <w:rsid w:val="00AC253E"/>
    <w:rsid w:val="00B160EA"/>
    <w:rsid w:val="00B36584"/>
    <w:rsid w:val="00B44DF6"/>
    <w:rsid w:val="00B561D0"/>
    <w:rsid w:val="00B87F95"/>
    <w:rsid w:val="00BA067A"/>
    <w:rsid w:val="00BC2469"/>
    <w:rsid w:val="00BE53D1"/>
    <w:rsid w:val="00BF0D54"/>
    <w:rsid w:val="00C33EE1"/>
    <w:rsid w:val="00C34B6E"/>
    <w:rsid w:val="00C4560D"/>
    <w:rsid w:val="00C50C74"/>
    <w:rsid w:val="00C825CC"/>
    <w:rsid w:val="00C83D62"/>
    <w:rsid w:val="00CB77D8"/>
    <w:rsid w:val="00CD4560"/>
    <w:rsid w:val="00CE7E36"/>
    <w:rsid w:val="00D471A9"/>
    <w:rsid w:val="00D86B1D"/>
    <w:rsid w:val="00DA0F7F"/>
    <w:rsid w:val="00DD6085"/>
    <w:rsid w:val="00DE7342"/>
    <w:rsid w:val="00DF635C"/>
    <w:rsid w:val="00E13CF9"/>
    <w:rsid w:val="00E723D6"/>
    <w:rsid w:val="00E736AC"/>
    <w:rsid w:val="00ED413C"/>
    <w:rsid w:val="00EE4050"/>
    <w:rsid w:val="00F03C73"/>
    <w:rsid w:val="00F216F6"/>
    <w:rsid w:val="00F310A5"/>
    <w:rsid w:val="00F47C24"/>
    <w:rsid w:val="00F47DE6"/>
    <w:rsid w:val="00F978C3"/>
    <w:rsid w:val="00FC053A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59382"/>
  <w14:defaultImageDpi w14:val="0"/>
  <w15:docId w15:val="{13A69772-61F4-4BF6-B13E-42C60430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-Roman" w:hAnsi="Times-Roman" w:cs="Times-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120"/>
      <w:outlineLvl w:val="0"/>
    </w:pPr>
    <w:rPr>
      <w:rFonts w:ascii="Tahoma-Bold" w:hAnsi="Tahoma-Bold" w:cs="Tahoma-Bold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p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uiPriority w:val="99"/>
    <w:qFormat/>
    <w:pPr>
      <w:outlineLvl w:val="3"/>
    </w:pPr>
    <w:rPr>
      <w:rFonts w:ascii="Tahoma" w:hAnsi="Tahoma" w:cs="Tahoma"/>
      <w:b w:val="0"/>
      <w:bCs w:val="0"/>
      <w:i w:val="0"/>
      <w:iCs w:val="0"/>
    </w:rPr>
  </w:style>
  <w:style w:type="paragraph" w:styleId="Heading5">
    <w:name w:val="heading 5"/>
    <w:basedOn w:val="Heading4"/>
    <w:next w:val="Normal"/>
    <w:link w:val="Heading5Char"/>
    <w:uiPriority w:val="99"/>
    <w:qFormat/>
    <w:pPr>
      <w:outlineLvl w:val="4"/>
    </w:pPr>
    <w:rPr>
      <w:u w:val="single"/>
    </w:rPr>
  </w:style>
  <w:style w:type="paragraph" w:styleId="Heading6">
    <w:name w:val="heading 6"/>
    <w:basedOn w:val="Heading5"/>
    <w:next w:val="Normal"/>
    <w:link w:val="Heading6Char"/>
    <w:uiPriority w:val="99"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paragraph" w:customStyle="1" w:styleId="Footnote">
    <w:name w:val="Footnote"/>
    <w:basedOn w:val="Normal"/>
    <w:pPr>
      <w:widowControl w:val="0"/>
    </w:pPr>
  </w:style>
  <w:style w:type="character" w:customStyle="1" w:styleId="NoteReference">
    <w:name w:val="Note Reference"/>
    <w:uiPriority w:val="99"/>
    <w:rPr>
      <w:vertAlign w:val="superscript"/>
    </w:rPr>
  </w:style>
  <w:style w:type="character" w:customStyle="1" w:styleId="NoteReferenceinNote">
    <w:name w:val="Note Reference in Note"/>
    <w:basedOn w:val="NoteReference"/>
    <w:uiPriority w:val="99"/>
    <w:rPr>
      <w:rFonts w:cs="Times New Roman"/>
      <w:vertAlign w:val="superscript"/>
    </w:rPr>
  </w:style>
  <w:style w:type="paragraph" w:customStyle="1" w:styleId="Endnote">
    <w:name w:val="End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-Roman" w:hAnsi="Times-Roman" w:cs="Times-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pPr>
      <w:jc w:val="center"/>
    </w:pPr>
    <w:rPr>
      <w:rFonts w:ascii="Tahoma-Bold" w:hAnsi="Tahoma-Bold" w:cs="Tahoma-Bold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-Roman" w:hAnsi="Times-Roman" w:cs="Times-Roman"/>
      <w:sz w:val="24"/>
      <w:szCs w:val="24"/>
    </w:rPr>
  </w:style>
  <w:style w:type="paragraph" w:customStyle="1" w:styleId="BlockQuote">
    <w:name w:val="Block Quote"/>
    <w:basedOn w:val="Normal"/>
    <w:uiPriority w:val="99"/>
    <w:pPr>
      <w:ind w:left="1080" w:right="1020"/>
    </w:pPr>
  </w:style>
  <w:style w:type="character" w:customStyle="1" w:styleId="Emphatic">
    <w:name w:val="Emphatic"/>
    <w:uiPriority w:val="99"/>
    <w:rPr>
      <w:i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paragraph" w:customStyle="1" w:styleId="ParagraphStyle">
    <w:name w:val="Paragraph Style"/>
    <w:basedOn w:val="Normal"/>
    <w:uiPriority w:val="99"/>
  </w:style>
  <w:style w:type="paragraph" w:customStyle="1" w:styleId="ShapeText">
    <w:name w:val="Shape Text"/>
    <w:basedOn w:val="Normal"/>
    <w:uiPriority w:val="99"/>
  </w:style>
  <w:style w:type="numbering" w:customStyle="1" w:styleId="LetteredList">
    <w:name w:val="Lettered List"/>
    <w:pPr>
      <w:numPr>
        <w:numId w:val="5"/>
      </w:numPr>
    </w:pPr>
  </w:style>
  <w:style w:type="numbering" w:customStyle="1" w:styleId="TieredList">
    <w:name w:val="Tiered List"/>
    <w:pPr>
      <w:numPr>
        <w:numId w:val="6"/>
      </w:numPr>
    </w:pPr>
  </w:style>
  <w:style w:type="numbering" w:customStyle="1" w:styleId="BulletList">
    <w:name w:val="Bullet List"/>
    <w:pPr>
      <w:numPr>
        <w:numId w:val="2"/>
      </w:numPr>
    </w:pPr>
  </w:style>
  <w:style w:type="numbering" w:customStyle="1" w:styleId="Headings">
    <w:name w:val="Headings"/>
    <w:pPr>
      <w:numPr>
        <w:numId w:val="3"/>
      </w:numPr>
    </w:pPr>
  </w:style>
  <w:style w:type="numbering" w:customStyle="1" w:styleId="NumberList">
    <w:name w:val="Number List"/>
    <w:pPr>
      <w:numPr>
        <w:numId w:val="4"/>
      </w:numPr>
    </w:pPr>
  </w:style>
  <w:style w:type="numbering" w:customStyle="1" w:styleId="Outline">
    <w:name w:val="Outline"/>
    <w:pPr>
      <w:numPr>
        <w:numId w:val="1"/>
      </w:numPr>
    </w:pPr>
  </w:style>
  <w:style w:type="character" w:styleId="PageNumber">
    <w:name w:val="page number"/>
    <w:basedOn w:val="DefaultParagraphFont"/>
    <w:uiPriority w:val="99"/>
    <w:semiHidden/>
    <w:unhideWhenUsed/>
    <w:rsid w:val="00F47DE6"/>
  </w:style>
  <w:style w:type="paragraph" w:styleId="BalloonText">
    <w:name w:val="Balloon Text"/>
    <w:basedOn w:val="Normal"/>
    <w:link w:val="BalloonTextChar"/>
    <w:uiPriority w:val="99"/>
    <w:semiHidden/>
    <w:unhideWhenUsed/>
    <w:rsid w:val="00CE7E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E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W. Dabbs</dc:creator>
  <cp:keywords/>
  <dc:description/>
  <cp:lastModifiedBy>Bob2</cp:lastModifiedBy>
  <cp:revision>3</cp:revision>
  <cp:lastPrinted>2014-11-03T09:34:00Z</cp:lastPrinted>
  <dcterms:created xsi:type="dcterms:W3CDTF">2015-04-19T20:23:00Z</dcterms:created>
  <dcterms:modified xsi:type="dcterms:W3CDTF">2015-05-03T16:36:00Z</dcterms:modified>
</cp:coreProperties>
</file>