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93F" w:rsidRPr="00BA360E" w:rsidRDefault="00BA360E">
      <w:pPr>
        <w:pStyle w:val="Standard"/>
        <w:rPr>
          <w:rFonts w:ascii="Times New Roman" w:hAnsi="Times New Roman" w:cs="Times New Roman"/>
          <w:b/>
          <w:sz w:val="28"/>
          <w:szCs w:val="28"/>
        </w:rPr>
      </w:pPr>
      <w:r>
        <w:rPr>
          <w:rFonts w:ascii="Times New Roman" w:hAnsi="Times New Roman" w:cs="Times New Roman"/>
          <w:b/>
          <w:sz w:val="28"/>
          <w:szCs w:val="28"/>
        </w:rPr>
        <w:t>EDER — Magnifying</w:t>
      </w:r>
    </w:p>
    <w:p w:rsidR="00BA360E" w:rsidRDefault="00BA360E">
      <w:pPr>
        <w:pStyle w:val="Title"/>
        <w:rPr>
          <w:rFonts w:ascii="Times New Roman" w:hAnsi="Times New Roman" w:cs="Times New Roman"/>
          <w:sz w:val="24"/>
          <w:szCs w:val="24"/>
        </w:rPr>
      </w:pPr>
      <w:bookmarkStart w:id="0" w:name="h.7novnq4vmolm"/>
      <w:bookmarkEnd w:id="0"/>
      <w:r>
        <w:rPr>
          <w:rFonts w:ascii="Times New Roman" w:hAnsi="Times New Roman" w:cs="Times New Roman"/>
          <w:sz w:val="24"/>
          <w:szCs w:val="24"/>
        </w:rPr>
        <w:t>&lt;3 images&gt;</w:t>
      </w:r>
    </w:p>
    <w:p w:rsidR="00BA360E" w:rsidRDefault="00BA360E">
      <w:pPr>
        <w:pStyle w:val="Title"/>
        <w:rPr>
          <w:rFonts w:ascii="Times New Roman" w:hAnsi="Times New Roman" w:cs="Times New Roman"/>
          <w:sz w:val="24"/>
          <w:szCs w:val="24"/>
        </w:rPr>
      </w:pPr>
    </w:p>
    <w:p w:rsidR="00F3793F" w:rsidRPr="00BA360E" w:rsidRDefault="009D7631">
      <w:pPr>
        <w:pStyle w:val="Title"/>
        <w:rPr>
          <w:rFonts w:ascii="Times New Roman" w:hAnsi="Times New Roman" w:cs="Times New Roman"/>
          <w:b/>
          <w:sz w:val="24"/>
          <w:szCs w:val="24"/>
        </w:rPr>
      </w:pPr>
      <w:r w:rsidRPr="00BA360E">
        <w:rPr>
          <w:rFonts w:ascii="Times New Roman" w:hAnsi="Times New Roman" w:cs="Times New Roman"/>
          <w:b/>
          <w:sz w:val="24"/>
          <w:szCs w:val="24"/>
        </w:rPr>
        <w:t>Through the Magnifying Glass: Rolling Stylometry for Collaborative Authorship</w:t>
      </w:r>
    </w:p>
    <w:p w:rsidR="00F3793F" w:rsidRPr="00BA360E" w:rsidRDefault="00BA360E">
      <w:pPr>
        <w:pStyle w:val="Standard"/>
        <w:rPr>
          <w:rFonts w:ascii="Times New Roman" w:hAnsi="Times New Roman" w:cs="Times New Roman"/>
          <w:sz w:val="24"/>
          <w:szCs w:val="24"/>
        </w:rPr>
      </w:pPr>
      <w:r>
        <w:rPr>
          <w:rFonts w:ascii="Times New Roman" w:hAnsi="Times New Roman" w:cs="Times New Roman"/>
          <w:sz w:val="24"/>
          <w:szCs w:val="24"/>
        </w:rPr>
        <w:t>Eder, M.</w:t>
      </w:r>
    </w:p>
    <w:p w:rsidR="00F3793F" w:rsidRPr="00BA360E" w:rsidRDefault="00F3793F">
      <w:pPr>
        <w:pStyle w:val="Standard"/>
        <w:rPr>
          <w:rFonts w:ascii="Times New Roman" w:hAnsi="Times New Roman" w:cs="Times New Roman"/>
          <w:sz w:val="24"/>
          <w:szCs w:val="24"/>
        </w:rPr>
      </w:pPr>
      <w:bookmarkStart w:id="1" w:name="h.3holvdh8cvou"/>
      <w:bookmarkEnd w:id="1"/>
    </w:p>
    <w:p w:rsidR="00BA360E" w:rsidRDefault="00BA360E">
      <w:pPr>
        <w:pStyle w:val="Standard"/>
        <w:rPr>
          <w:rFonts w:ascii="Times New Roman" w:hAnsi="Times New Roman" w:cs="Times New Roman"/>
          <w:sz w:val="24"/>
          <w:szCs w:val="24"/>
        </w:rPr>
      </w:pPr>
    </w:p>
    <w:p w:rsidR="00F3793F" w:rsidRPr="00BA360E" w:rsidRDefault="009D7631">
      <w:pPr>
        <w:pStyle w:val="Standard"/>
        <w:rPr>
          <w:rFonts w:ascii="Times New Roman" w:hAnsi="Times New Roman" w:cs="Times New Roman"/>
          <w:sz w:val="24"/>
          <w:szCs w:val="24"/>
        </w:rPr>
      </w:pPr>
      <w:r w:rsidRPr="00BA360E">
        <w:rPr>
          <w:rFonts w:ascii="Times New Roman" w:hAnsi="Times New Roman" w:cs="Times New Roman"/>
          <w:sz w:val="24"/>
          <w:szCs w:val="24"/>
        </w:rPr>
        <w:t xml:space="preserve">This poster introduces a new stylometric method that combines supervised machine-learning classification with the idea of sequential analysis. Developed to assess mixed authorship, it can also </w:t>
      </w:r>
      <w:r w:rsidR="00BA360E">
        <w:rPr>
          <w:rFonts w:ascii="Times New Roman" w:hAnsi="Times New Roman" w:cs="Times New Roman"/>
          <w:sz w:val="24"/>
          <w:szCs w:val="24"/>
        </w:rPr>
        <w:t xml:space="preserve">be </w:t>
      </w:r>
      <w:r w:rsidRPr="00BA360E">
        <w:rPr>
          <w:rFonts w:ascii="Times New Roman" w:hAnsi="Times New Roman" w:cs="Times New Roman"/>
          <w:sz w:val="24"/>
          <w:szCs w:val="24"/>
        </w:rPr>
        <w:t xml:space="preserve">used as a magnifying glass to inspect works with </w:t>
      </w:r>
      <w:r w:rsidR="00BA360E">
        <w:rPr>
          <w:rFonts w:ascii="Times New Roman" w:hAnsi="Times New Roman" w:cs="Times New Roman"/>
          <w:sz w:val="24"/>
          <w:szCs w:val="24"/>
        </w:rPr>
        <w:t xml:space="preserve">an </w:t>
      </w:r>
      <w:r w:rsidRPr="00BA360E">
        <w:rPr>
          <w:rFonts w:ascii="Times New Roman" w:hAnsi="Times New Roman" w:cs="Times New Roman"/>
          <w:sz w:val="24"/>
          <w:szCs w:val="24"/>
        </w:rPr>
        <w:t>unclear stylometric signal.</w:t>
      </w:r>
    </w:p>
    <w:p w:rsidR="00F3793F" w:rsidRPr="00BA360E" w:rsidRDefault="009D7631" w:rsidP="000558A1">
      <w:pPr>
        <w:pStyle w:val="Standard"/>
        <w:ind w:firstLine="720"/>
        <w:rPr>
          <w:rFonts w:ascii="Times New Roman" w:hAnsi="Times New Roman" w:cs="Times New Roman"/>
          <w:sz w:val="24"/>
          <w:szCs w:val="24"/>
        </w:rPr>
      </w:pPr>
      <w:r w:rsidRPr="00BA360E">
        <w:rPr>
          <w:rFonts w:ascii="Times New Roman" w:hAnsi="Times New Roman" w:cs="Times New Roman"/>
          <w:sz w:val="24"/>
          <w:szCs w:val="24"/>
        </w:rPr>
        <w:t>Sequential analysis is a very attractive way of assessing linear phenomena. The concept of</w:t>
      </w:r>
      <w:r w:rsidR="00BA360E">
        <w:rPr>
          <w:rFonts w:ascii="Times New Roman" w:hAnsi="Times New Roman" w:cs="Times New Roman"/>
          <w:sz w:val="24"/>
          <w:szCs w:val="24"/>
        </w:rPr>
        <w:t xml:space="preserve"> the</w:t>
      </w:r>
      <w:r w:rsidRPr="00BA360E">
        <w:rPr>
          <w:rFonts w:ascii="Times New Roman" w:hAnsi="Times New Roman" w:cs="Times New Roman"/>
          <w:sz w:val="24"/>
          <w:szCs w:val="24"/>
        </w:rPr>
        <w:t xml:space="preserve"> moving window is particularly important to measure given elements in their sequential order. It has been introduced to stylometry and extended by van Dalen-Oskam and van Zundert in their study on the medieval Dutch poem titled </w:t>
      </w:r>
      <w:r w:rsidR="00920D2A">
        <w:rPr>
          <w:rFonts w:ascii="Times New Roman" w:hAnsi="Times New Roman" w:cs="Times New Roman"/>
          <w:sz w:val="24"/>
          <w:szCs w:val="24"/>
        </w:rPr>
        <w:t>‘</w:t>
      </w:r>
      <w:r w:rsidRPr="000558A1">
        <w:rPr>
          <w:rFonts w:ascii="Times New Roman" w:hAnsi="Times New Roman" w:cs="Times New Roman"/>
          <w:sz w:val="24"/>
          <w:szCs w:val="24"/>
        </w:rPr>
        <w:t>Roman van Walewein</w:t>
      </w:r>
      <w:r w:rsidR="00920D2A">
        <w:rPr>
          <w:rFonts w:ascii="Times New Roman" w:hAnsi="Times New Roman" w:cs="Times New Roman"/>
          <w:sz w:val="24"/>
          <w:szCs w:val="24"/>
        </w:rPr>
        <w:t>’</w:t>
      </w:r>
      <w:r w:rsidRPr="00BA360E">
        <w:rPr>
          <w:rFonts w:ascii="Times New Roman" w:hAnsi="Times New Roman" w:cs="Times New Roman"/>
          <w:sz w:val="24"/>
          <w:szCs w:val="24"/>
        </w:rPr>
        <w:t xml:space="preserve"> (van Dalen-Oskam and van Zundert, 2007). Other notable approaches to visualize stylistic shifts using moving windows include paper</w:t>
      </w:r>
      <w:r w:rsidR="00920D2A">
        <w:rPr>
          <w:rFonts w:ascii="Times New Roman" w:hAnsi="Times New Roman" w:cs="Times New Roman"/>
          <w:sz w:val="24"/>
          <w:szCs w:val="24"/>
        </w:rPr>
        <w:t>s</w:t>
      </w:r>
      <w:r w:rsidRPr="00BA360E">
        <w:rPr>
          <w:rFonts w:ascii="Times New Roman" w:hAnsi="Times New Roman" w:cs="Times New Roman"/>
          <w:sz w:val="24"/>
          <w:szCs w:val="24"/>
        </w:rPr>
        <w:t xml:space="preserve"> on Middle</w:t>
      </w:r>
      <w:r w:rsidR="00920D2A">
        <w:rPr>
          <w:rFonts w:ascii="Times New Roman" w:hAnsi="Times New Roman" w:cs="Times New Roman"/>
          <w:sz w:val="24"/>
          <w:szCs w:val="24"/>
        </w:rPr>
        <w:t xml:space="preserve"> </w:t>
      </w:r>
      <w:r w:rsidRPr="00BA360E">
        <w:rPr>
          <w:rFonts w:ascii="Times New Roman" w:hAnsi="Times New Roman" w:cs="Times New Roman"/>
          <w:sz w:val="24"/>
          <w:szCs w:val="24"/>
        </w:rPr>
        <w:t xml:space="preserve">Dutch rhyme words (Kestemont, 2010), on three disputed English prose texts (Burrows, 2010), and on </w:t>
      </w:r>
      <w:r w:rsidRPr="00BA360E">
        <w:rPr>
          <w:rFonts w:ascii="Times New Roman" w:hAnsi="Times New Roman" w:cs="Times New Roman"/>
          <w:i/>
          <w:sz w:val="24"/>
          <w:szCs w:val="24"/>
        </w:rPr>
        <w:t>The Tutor’s Story</w:t>
      </w:r>
      <w:r w:rsidRPr="00BA360E">
        <w:rPr>
          <w:rFonts w:ascii="Times New Roman" w:hAnsi="Times New Roman" w:cs="Times New Roman"/>
          <w:sz w:val="24"/>
          <w:szCs w:val="24"/>
        </w:rPr>
        <w:t xml:space="preserve"> by Kingsley and Mallet approached with </w:t>
      </w:r>
      <w:r w:rsidRPr="00BA360E">
        <w:rPr>
          <w:rFonts w:ascii="Times New Roman" w:hAnsi="Times New Roman" w:cs="Times New Roman"/>
          <w:i/>
          <w:sz w:val="24"/>
          <w:szCs w:val="24"/>
        </w:rPr>
        <w:t>t</w:t>
      </w:r>
      <w:r w:rsidRPr="00BA360E">
        <w:rPr>
          <w:rFonts w:ascii="Times New Roman" w:hAnsi="Times New Roman" w:cs="Times New Roman"/>
          <w:sz w:val="24"/>
          <w:szCs w:val="24"/>
        </w:rPr>
        <w:t xml:space="preserve">-tests (Hoover, 2011). Recently, Rolling Delta has been applied to examine collaborative works by Joseph Conrad and Ford Madox Ford (Rybicki </w:t>
      </w:r>
      <w:r w:rsidRPr="000558A1">
        <w:rPr>
          <w:rFonts w:ascii="Times New Roman" w:hAnsi="Times New Roman" w:cs="Times New Roman"/>
          <w:sz w:val="24"/>
          <w:szCs w:val="24"/>
        </w:rPr>
        <w:t>et al.,</w:t>
      </w:r>
      <w:r w:rsidRPr="00BA360E">
        <w:rPr>
          <w:rFonts w:ascii="Times New Roman" w:hAnsi="Times New Roman" w:cs="Times New Roman"/>
          <w:sz w:val="24"/>
          <w:szCs w:val="24"/>
        </w:rPr>
        <w:t xml:space="preserve"> 2014).</w:t>
      </w:r>
    </w:p>
    <w:p w:rsidR="00F3793F" w:rsidRPr="00BA360E" w:rsidRDefault="009D7631" w:rsidP="000558A1">
      <w:pPr>
        <w:pStyle w:val="Standard"/>
        <w:ind w:firstLine="720"/>
        <w:rPr>
          <w:rFonts w:ascii="Times New Roman" w:hAnsi="Times New Roman" w:cs="Times New Roman"/>
          <w:sz w:val="24"/>
          <w:szCs w:val="24"/>
        </w:rPr>
      </w:pPr>
      <w:r w:rsidRPr="00BA360E">
        <w:rPr>
          <w:rFonts w:ascii="Times New Roman" w:hAnsi="Times New Roman" w:cs="Times New Roman"/>
          <w:sz w:val="24"/>
          <w:szCs w:val="24"/>
        </w:rPr>
        <w:t>The new stylometric method as discussed in this study is based on the above approaches. Its general idea is very simple: a text to be analyzed (e.g.</w:t>
      </w:r>
      <w:r w:rsidR="00920D2A">
        <w:rPr>
          <w:rFonts w:ascii="Times New Roman" w:hAnsi="Times New Roman" w:cs="Times New Roman"/>
          <w:sz w:val="24"/>
          <w:szCs w:val="24"/>
        </w:rPr>
        <w:t>,</w:t>
      </w:r>
      <w:r w:rsidRPr="00BA360E">
        <w:rPr>
          <w:rFonts w:ascii="Times New Roman" w:hAnsi="Times New Roman" w:cs="Times New Roman"/>
          <w:sz w:val="24"/>
          <w:szCs w:val="24"/>
        </w:rPr>
        <w:t xml:space="preserve"> an anonymous text to be attributed) is chunked into equal-size blocks (partially overlapping). Then, instead of attributing the text in its entirety, the goal is to perform an independent similarity test for each chunk, and to inspect the results as a sequence of ordered stylistic signals. Arguably, any classification method can be combined with this procedure. In the present study, support vector machines (SVM), nearest shrunken centroids (NSC), and Delta in its classical Burrowsian flavor have been used (Eder, 2015).</w:t>
      </w:r>
    </w:p>
    <w:p w:rsidR="00F3793F" w:rsidRPr="00BA360E" w:rsidRDefault="009D7631" w:rsidP="000558A1">
      <w:pPr>
        <w:pStyle w:val="Standard"/>
        <w:ind w:firstLine="720"/>
        <w:rPr>
          <w:rFonts w:ascii="Times New Roman" w:hAnsi="Times New Roman" w:cs="Times New Roman"/>
          <w:sz w:val="24"/>
          <w:szCs w:val="24"/>
        </w:rPr>
      </w:pPr>
      <w:r w:rsidRPr="00BA360E">
        <w:rPr>
          <w:rFonts w:ascii="Times New Roman" w:hAnsi="Times New Roman" w:cs="Times New Roman"/>
          <w:sz w:val="24"/>
          <w:szCs w:val="24"/>
        </w:rPr>
        <w:t>The method i</w:t>
      </w:r>
      <w:r w:rsidR="00BA360E">
        <w:rPr>
          <w:rFonts w:ascii="Times New Roman" w:hAnsi="Times New Roman" w:cs="Times New Roman"/>
          <w:sz w:val="24"/>
          <w:szCs w:val="24"/>
        </w:rPr>
        <w:t>s</w:t>
      </w:r>
      <w:r w:rsidRPr="00BA360E">
        <w:rPr>
          <w:rFonts w:ascii="Times New Roman" w:hAnsi="Times New Roman" w:cs="Times New Roman"/>
          <w:sz w:val="24"/>
          <w:szCs w:val="24"/>
        </w:rPr>
        <w:t xml:space="preserve"> designed to detect stylistic takeovers. An example is </w:t>
      </w:r>
      <w:r w:rsidRPr="00BA360E">
        <w:rPr>
          <w:rFonts w:ascii="Times New Roman" w:hAnsi="Times New Roman" w:cs="Times New Roman"/>
          <w:i/>
          <w:sz w:val="24"/>
          <w:szCs w:val="24"/>
        </w:rPr>
        <w:t>The World’s Desire</w:t>
      </w:r>
      <w:r w:rsidRPr="00BA360E">
        <w:rPr>
          <w:rFonts w:ascii="Times New Roman" w:hAnsi="Times New Roman" w:cs="Times New Roman"/>
          <w:sz w:val="24"/>
          <w:szCs w:val="24"/>
        </w:rPr>
        <w:t>, a classic fantasy novel written collaboratively by Henry Rider Haggard and Andrew Lang in 1890. It is a story of the hero Odysseus, who returns home to Ithaca after his journey: instead of finding his home at peace, however, he is involved in several new adventures. The plot of the novel as well as its mythological background was set by Lang, while Haggard</w:t>
      </w:r>
      <w:r w:rsidR="00920D2A">
        <w:rPr>
          <w:rFonts w:ascii="Times New Roman" w:hAnsi="Times New Roman" w:cs="Times New Roman"/>
          <w:sz w:val="24"/>
          <w:szCs w:val="24"/>
        </w:rPr>
        <w:t>—</w:t>
      </w:r>
      <w:r w:rsidRPr="00BA360E">
        <w:rPr>
          <w:rFonts w:ascii="Times New Roman" w:hAnsi="Times New Roman" w:cs="Times New Roman"/>
          <w:sz w:val="24"/>
          <w:szCs w:val="24"/>
        </w:rPr>
        <w:t>the author of several appreciated adventure novels</w:t>
      </w:r>
      <w:r w:rsidR="00920D2A">
        <w:rPr>
          <w:rFonts w:ascii="Times New Roman" w:hAnsi="Times New Roman" w:cs="Times New Roman"/>
          <w:sz w:val="24"/>
          <w:szCs w:val="24"/>
        </w:rPr>
        <w:t>—</w:t>
      </w:r>
      <w:r w:rsidRPr="00BA360E">
        <w:rPr>
          <w:rFonts w:ascii="Times New Roman" w:hAnsi="Times New Roman" w:cs="Times New Roman"/>
          <w:sz w:val="24"/>
          <w:szCs w:val="24"/>
        </w:rPr>
        <w:t>contributed his imagination and style. It is assumed that Haggard reworked Lang’s drafts and actually wrote most of the novel except the first four chapters, which were written entirely by Lang.</w:t>
      </w:r>
    </w:p>
    <w:p w:rsidR="00920D2A" w:rsidRDefault="00920D2A" w:rsidP="00920D2A">
      <w:pPr>
        <w:pStyle w:val="Standard"/>
        <w:ind w:firstLine="720"/>
        <w:rPr>
          <w:rFonts w:ascii="Times New Roman" w:hAnsi="Times New Roman" w:cs="Times New Roman"/>
          <w:sz w:val="24"/>
          <w:szCs w:val="24"/>
        </w:rPr>
      </w:pPr>
      <w:r w:rsidRPr="00BA360E">
        <w:rPr>
          <w:rFonts w:ascii="Times New Roman" w:hAnsi="Times New Roman" w:cs="Times New Roman"/>
          <w:sz w:val="24"/>
          <w:szCs w:val="24"/>
        </w:rPr>
        <w:t xml:space="preserve">An experiment involving a reference corpus of </w:t>
      </w:r>
      <w:r>
        <w:rPr>
          <w:rFonts w:ascii="Times New Roman" w:hAnsi="Times New Roman" w:cs="Times New Roman"/>
          <w:sz w:val="24"/>
          <w:szCs w:val="24"/>
        </w:rPr>
        <w:t>eight</w:t>
      </w:r>
      <w:r w:rsidRPr="00BA360E">
        <w:rPr>
          <w:rFonts w:ascii="Times New Roman" w:hAnsi="Times New Roman" w:cs="Times New Roman"/>
          <w:sz w:val="24"/>
          <w:szCs w:val="24"/>
        </w:rPr>
        <w:t xml:space="preserve"> novels by Haggard and </w:t>
      </w:r>
      <w:r>
        <w:rPr>
          <w:rFonts w:ascii="Times New Roman" w:hAnsi="Times New Roman" w:cs="Times New Roman"/>
          <w:sz w:val="24"/>
          <w:szCs w:val="24"/>
        </w:rPr>
        <w:t>eight</w:t>
      </w:r>
      <w:r w:rsidRPr="00BA360E">
        <w:rPr>
          <w:rFonts w:ascii="Times New Roman" w:hAnsi="Times New Roman" w:cs="Times New Roman"/>
          <w:sz w:val="24"/>
          <w:szCs w:val="24"/>
        </w:rPr>
        <w:t xml:space="preserve"> by Lang corroborates the hypothesis. In Fig</w:t>
      </w:r>
      <w:r>
        <w:rPr>
          <w:rFonts w:ascii="Times New Roman" w:hAnsi="Times New Roman" w:cs="Times New Roman"/>
          <w:sz w:val="24"/>
          <w:szCs w:val="24"/>
        </w:rPr>
        <w:t>ure</w:t>
      </w:r>
      <w:r w:rsidRPr="00BA360E">
        <w:rPr>
          <w:rFonts w:ascii="Times New Roman" w:hAnsi="Times New Roman" w:cs="Times New Roman"/>
          <w:sz w:val="24"/>
          <w:szCs w:val="24"/>
        </w:rPr>
        <w:t xml:space="preserve"> 1, the results of the rolling technique in Delta flavor have been shown. When the novel in question is split into sequentially ordered chunks, one can easily observe its development and</w:t>
      </w:r>
      <w:r>
        <w:rPr>
          <w:rFonts w:ascii="Times New Roman" w:hAnsi="Times New Roman" w:cs="Times New Roman"/>
          <w:sz w:val="24"/>
          <w:szCs w:val="24"/>
        </w:rPr>
        <w:t>—</w:t>
      </w:r>
      <w:r w:rsidRPr="00BA360E">
        <w:rPr>
          <w:rFonts w:ascii="Times New Roman" w:hAnsi="Times New Roman" w:cs="Times New Roman"/>
          <w:sz w:val="24"/>
          <w:szCs w:val="24"/>
        </w:rPr>
        <w:t>more importantly</w:t>
      </w:r>
      <w:r>
        <w:rPr>
          <w:rFonts w:ascii="Times New Roman" w:hAnsi="Times New Roman" w:cs="Times New Roman"/>
          <w:sz w:val="24"/>
          <w:szCs w:val="24"/>
        </w:rPr>
        <w:t>—</w:t>
      </w:r>
      <w:r w:rsidRPr="00BA360E">
        <w:rPr>
          <w:rFonts w:ascii="Times New Roman" w:hAnsi="Times New Roman" w:cs="Times New Roman"/>
          <w:sz w:val="24"/>
          <w:szCs w:val="24"/>
        </w:rPr>
        <w:t>a stylistic takeover in the first part of the text. The break point takes place roughly after the fourth chapter.</w:t>
      </w:r>
    </w:p>
    <w:p w:rsidR="00F3793F" w:rsidRPr="00BA360E" w:rsidRDefault="00F3793F">
      <w:pPr>
        <w:pStyle w:val="Standard"/>
        <w:rPr>
          <w:rFonts w:ascii="Times New Roman" w:hAnsi="Times New Roman" w:cs="Times New Roman"/>
          <w:sz w:val="24"/>
          <w:szCs w:val="24"/>
        </w:rPr>
      </w:pPr>
    </w:p>
    <w:p w:rsidR="00F3793F" w:rsidRPr="00BA360E" w:rsidRDefault="00F3793F">
      <w:pPr>
        <w:pStyle w:val="Standard"/>
        <w:rPr>
          <w:rFonts w:ascii="Times New Roman" w:hAnsi="Times New Roman" w:cs="Times New Roman"/>
          <w:sz w:val="24"/>
          <w:szCs w:val="24"/>
        </w:rPr>
      </w:pPr>
    </w:p>
    <w:p w:rsidR="00F3793F" w:rsidRDefault="009D7631">
      <w:pPr>
        <w:pStyle w:val="Standard"/>
        <w:rPr>
          <w:rFonts w:ascii="Times New Roman" w:hAnsi="Times New Roman" w:cs="Times New Roman"/>
          <w:sz w:val="24"/>
          <w:szCs w:val="24"/>
        </w:rPr>
      </w:pPr>
      <w:r w:rsidRPr="00BA360E">
        <w:rPr>
          <w:rFonts w:ascii="Times New Roman" w:hAnsi="Times New Roman" w:cs="Times New Roman"/>
          <w:noProof/>
          <w:sz w:val="24"/>
          <w:szCs w:val="24"/>
          <w:lang w:eastAsia="en-US" w:bidi="ar-SA"/>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943600" cy="2377440"/>
                <wp:effectExtent l="0" t="0" r="0" b="0"/>
                <wp:wrapTopAndBottom/>
                <wp:docPr id="2" name="Frame4"/>
                <wp:cNvGraphicFramePr/>
                <a:graphic xmlns:a="http://schemas.openxmlformats.org/drawingml/2006/main">
                  <a:graphicData uri="http://schemas.microsoft.com/office/word/2010/wordprocessingShape">
                    <wps:wsp>
                      <wps:cNvSpPr txBox="1"/>
                      <wps:spPr>
                        <a:xfrm>
                          <a:off x="0" y="0"/>
                          <a:ext cx="5943600" cy="2377440"/>
                        </a:xfrm>
                        <a:prstGeom prst="rect">
                          <a:avLst/>
                        </a:prstGeom>
                        <a:ln>
                          <a:noFill/>
                          <a:prstDash/>
                        </a:ln>
                      </wps:spPr>
                      <wps:txbx>
                        <w:txbxContent>
                          <w:p w:rsidR="00F3793F" w:rsidRDefault="009D7631">
                            <w:pPr>
                              <w:pStyle w:val="Fig"/>
                            </w:pPr>
                            <w:r>
                              <w:rPr>
                                <w:noProof/>
                                <w:lang w:eastAsia="en-US" w:bidi="ar-SA"/>
                              </w:rPr>
                              <w:drawing>
                                <wp:inline distT="0" distB="0" distL="0" distR="0">
                                  <wp:extent cx="5943600" cy="2377440"/>
                                  <wp:effectExtent l="0" t="0" r="0" b="3810"/>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5943600" cy="2377440"/>
                                          </a:xfrm>
                                          <a:prstGeom prst="rect">
                                            <a:avLst/>
                                          </a:prstGeom>
                                          <a:ln>
                                            <a:noFill/>
                                            <a:prstDash/>
                                          </a:ln>
                                        </pic:spPr>
                                      </pic:pic>
                                    </a:graphicData>
                                  </a:graphic>
                                </wp:inline>
                              </w:drawing>
                            </w:r>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4" o:spid="_x0000_s1026" type="#_x0000_t202" style="position:absolute;margin-left:0;margin-top:0;width:468pt;height:187.2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" filled="f" stroked="f">
                <v:textbox style="mso-fit-shape-to-text:t" inset="0,0,0,0">
                  <w:txbxContent>
                    <w:p w:rsidR="00F3793F" w:rsidRDefault="009D7631">
                      <w:pPr>
                        <w:pStyle w:val="Fig"/>
                      </w:pPr>
                      <w:r>
                        <w:rPr>
                          <w:noProof/>
                          <w:lang w:eastAsia="en-US" w:bidi="ar-SA"/>
                        </w:rPr>
                        <w:drawing>
                          <wp:inline distT="0" distB="0" distL="0" distR="0">
                            <wp:extent cx="5943600" cy="2377440"/>
                            <wp:effectExtent l="0" t="0" r="0" b="3810"/>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5943600" cy="2377440"/>
                                    </a:xfrm>
                                    <a:prstGeom prst="rect">
                                      <a:avLst/>
                                    </a:prstGeom>
                                    <a:ln>
                                      <a:noFill/>
                                      <a:prstDash/>
                                    </a:ln>
                                  </pic:spPr>
                                </pic:pic>
                              </a:graphicData>
                            </a:graphic>
                          </wp:inline>
                        </w:drawing>
                      </w:r>
                    </w:p>
                  </w:txbxContent>
                </v:textbox>
                <w10:wrap type="topAndBottom"/>
              </v:shape>
            </w:pict>
          </mc:Fallback>
        </mc:AlternateContent>
      </w:r>
      <w:r w:rsidR="008037E4">
        <w:rPr>
          <w:rFonts w:ascii="Times New Roman" w:hAnsi="Times New Roman" w:cs="Times New Roman"/>
          <w:sz w:val="24"/>
          <w:szCs w:val="24"/>
        </w:rPr>
        <w:pict>
          <v:rect id="_x0000_i1025" style="width:0;height:1.5pt" o:hralign="center" o:hrstd="t" o:hr="t" fillcolor="#a0a0a0" stroked="f"/>
        </w:pict>
      </w:r>
    </w:p>
    <w:p w:rsidR="00BA360E" w:rsidRPr="000558A1" w:rsidRDefault="00BA360E">
      <w:pPr>
        <w:pStyle w:val="Standard"/>
        <w:rPr>
          <w:rFonts w:ascii="Times New Roman" w:hAnsi="Times New Roman" w:cs="Times New Roman"/>
          <w:sz w:val="24"/>
          <w:szCs w:val="24"/>
        </w:rPr>
      </w:pPr>
      <w:r w:rsidRPr="000558A1">
        <w:rPr>
          <w:rFonts w:ascii="Times New Roman" w:hAnsi="Times New Roman" w:cs="Times New Roman"/>
          <w:sz w:val="24"/>
          <w:szCs w:val="24"/>
        </w:rPr>
        <w:t xml:space="preserve">Figure 1. </w:t>
      </w:r>
      <w:r w:rsidRPr="000558A1">
        <w:rPr>
          <w:rFonts w:ascii="Times New Roman" w:hAnsi="Times New Roman" w:cs="Times New Roman"/>
          <w:i/>
          <w:sz w:val="24"/>
          <w:szCs w:val="24"/>
        </w:rPr>
        <w:t xml:space="preserve">The World’s Desire </w:t>
      </w:r>
      <w:r w:rsidRPr="000558A1">
        <w:rPr>
          <w:rFonts w:ascii="Times New Roman" w:hAnsi="Times New Roman" w:cs="Times New Roman"/>
          <w:sz w:val="24"/>
          <w:szCs w:val="24"/>
        </w:rPr>
        <w:t>by Haggard/Lang assessed using Rolling Delta and 100 MFWs. Sections recognized to have been written by Haggard are marked black; Lang’s sections are marked gray.</w:t>
      </w:r>
    </w:p>
    <w:p w:rsidR="00BA360E" w:rsidRDefault="00BA360E">
      <w:pPr>
        <w:pStyle w:val="Standard"/>
        <w:rPr>
          <w:rFonts w:ascii="Times New Roman" w:hAnsi="Times New Roman" w:cs="Times New Roman"/>
          <w:sz w:val="24"/>
          <w:szCs w:val="24"/>
        </w:rPr>
      </w:pPr>
    </w:p>
    <w:p w:rsidR="00920D2A" w:rsidRDefault="00920D2A">
      <w:pPr>
        <w:pStyle w:val="Standard"/>
        <w:rPr>
          <w:rFonts w:ascii="Times New Roman" w:hAnsi="Times New Roman" w:cs="Times New Roman"/>
          <w:sz w:val="24"/>
          <w:szCs w:val="24"/>
        </w:rPr>
      </w:pPr>
    </w:p>
    <w:p w:rsidR="00920D2A" w:rsidRDefault="00920D2A" w:rsidP="00920D2A">
      <w:pPr>
        <w:pStyle w:val="Standard"/>
        <w:ind w:firstLine="720"/>
        <w:rPr>
          <w:rFonts w:ascii="Times New Roman" w:hAnsi="Times New Roman" w:cs="Times New Roman"/>
          <w:sz w:val="24"/>
          <w:szCs w:val="24"/>
        </w:rPr>
      </w:pPr>
      <w:r w:rsidRPr="00BA360E">
        <w:rPr>
          <w:rFonts w:ascii="Times New Roman" w:hAnsi="Times New Roman" w:cs="Times New Roman"/>
          <w:sz w:val="24"/>
          <w:szCs w:val="24"/>
        </w:rPr>
        <w:t xml:space="preserve">Two other variants of the rolling technique will be demonstrated using the Latin translation of the Bible known as the Vulgate. It is a very interesting example of a multi-level collaborative work. On the one hand, the original </w:t>
      </w:r>
      <w:r>
        <w:rPr>
          <w:rFonts w:ascii="Times New Roman" w:hAnsi="Times New Roman" w:cs="Times New Roman"/>
          <w:sz w:val="24"/>
          <w:szCs w:val="24"/>
        </w:rPr>
        <w:t>b</w:t>
      </w:r>
      <w:r w:rsidRPr="00BA360E">
        <w:rPr>
          <w:rFonts w:ascii="Times New Roman" w:hAnsi="Times New Roman" w:cs="Times New Roman"/>
          <w:sz w:val="24"/>
          <w:szCs w:val="24"/>
        </w:rPr>
        <w:t xml:space="preserve">iblical text itself has many authors; on the other hand, the Latin translation is partially </w:t>
      </w:r>
      <w:r>
        <w:rPr>
          <w:rFonts w:ascii="Times New Roman" w:hAnsi="Times New Roman" w:cs="Times New Roman"/>
          <w:sz w:val="24"/>
          <w:szCs w:val="24"/>
        </w:rPr>
        <w:t xml:space="preserve">attributed to </w:t>
      </w:r>
      <w:r w:rsidRPr="00BA360E">
        <w:rPr>
          <w:rFonts w:ascii="Times New Roman" w:hAnsi="Times New Roman" w:cs="Times New Roman"/>
          <w:sz w:val="24"/>
          <w:szCs w:val="24"/>
        </w:rPr>
        <w:t>St</w:t>
      </w:r>
      <w:r>
        <w:rPr>
          <w:rFonts w:ascii="Times New Roman" w:hAnsi="Times New Roman" w:cs="Times New Roman"/>
          <w:sz w:val="24"/>
          <w:szCs w:val="24"/>
        </w:rPr>
        <w:t>.</w:t>
      </w:r>
      <w:r w:rsidRPr="00BA360E">
        <w:rPr>
          <w:rFonts w:ascii="Times New Roman" w:hAnsi="Times New Roman" w:cs="Times New Roman"/>
          <w:sz w:val="24"/>
          <w:szCs w:val="24"/>
        </w:rPr>
        <w:t xml:space="preserve"> Jerome, and partially adopted from the already-existing Old Latin version (Vetus Latina). Thus, the authorial signal of the original interferes with translatorial takeovers: it is known that St. Jerome rendered most parts of the Old Testament and adopted the New Testament from earlier Latin versions. Detecting the translatorial voice might be a challenging task, since the author of the original is usually stylistically predominant in a translated text (Rybicki, 2012). Moreover, one should remember that two different languages of the Bible</w:t>
      </w:r>
      <w:r>
        <w:rPr>
          <w:rFonts w:ascii="Times New Roman" w:hAnsi="Times New Roman" w:cs="Times New Roman"/>
          <w:sz w:val="24"/>
          <w:szCs w:val="24"/>
        </w:rPr>
        <w:t>—</w:t>
      </w:r>
      <w:r w:rsidRPr="00BA360E">
        <w:rPr>
          <w:rFonts w:ascii="Times New Roman" w:hAnsi="Times New Roman" w:cs="Times New Roman"/>
          <w:sz w:val="24"/>
          <w:szCs w:val="24"/>
        </w:rPr>
        <w:t>Hebrew and Greek</w:t>
      </w:r>
      <w:r>
        <w:rPr>
          <w:rFonts w:ascii="Times New Roman" w:hAnsi="Times New Roman" w:cs="Times New Roman"/>
          <w:sz w:val="24"/>
          <w:szCs w:val="24"/>
        </w:rPr>
        <w:t>—</w:t>
      </w:r>
      <w:r w:rsidRPr="00BA360E">
        <w:rPr>
          <w:rFonts w:ascii="Times New Roman" w:hAnsi="Times New Roman" w:cs="Times New Roman"/>
          <w:sz w:val="24"/>
          <w:szCs w:val="24"/>
        </w:rPr>
        <w:t>might produce yet another stylometric signal.</w:t>
      </w:r>
      <w:r w:rsidRPr="00920D2A">
        <w:rPr>
          <w:rFonts w:ascii="Times New Roman" w:hAnsi="Times New Roman" w:cs="Times New Roman"/>
          <w:sz w:val="24"/>
          <w:szCs w:val="24"/>
        </w:rPr>
        <w:t xml:space="preserve"> </w:t>
      </w:r>
    </w:p>
    <w:p w:rsidR="00920D2A" w:rsidRPr="00BA360E" w:rsidRDefault="00920D2A" w:rsidP="00920D2A">
      <w:pPr>
        <w:pStyle w:val="Standard"/>
        <w:ind w:firstLine="720"/>
        <w:rPr>
          <w:rFonts w:ascii="Times New Roman" w:hAnsi="Times New Roman" w:cs="Times New Roman"/>
          <w:sz w:val="24"/>
          <w:szCs w:val="24"/>
        </w:rPr>
      </w:pPr>
      <w:r w:rsidRPr="00BA360E">
        <w:rPr>
          <w:rFonts w:ascii="Times New Roman" w:hAnsi="Times New Roman" w:cs="Times New Roman"/>
          <w:sz w:val="24"/>
          <w:szCs w:val="24"/>
        </w:rPr>
        <w:t>The testing procedure started with transplanting two training samples: one sample for St. Jerome’s translatorial voice, and one for the Old Latin translation as included in the Vulgate. The Book of Genesis and Acts were chosen, respectively. Next, the subsequent sections of the entire Vulgate were tested against the training samples. The results are shown in Fig</w:t>
      </w:r>
      <w:r>
        <w:rPr>
          <w:rFonts w:ascii="Times New Roman" w:hAnsi="Times New Roman" w:cs="Times New Roman"/>
          <w:sz w:val="24"/>
          <w:szCs w:val="24"/>
        </w:rPr>
        <w:t xml:space="preserve">ures </w:t>
      </w:r>
      <w:r w:rsidRPr="00BA360E">
        <w:rPr>
          <w:rFonts w:ascii="Times New Roman" w:hAnsi="Times New Roman" w:cs="Times New Roman"/>
          <w:sz w:val="24"/>
          <w:szCs w:val="24"/>
        </w:rPr>
        <w:t>2</w:t>
      </w:r>
      <w:r>
        <w:rPr>
          <w:rFonts w:ascii="Times New Roman" w:hAnsi="Times New Roman" w:cs="Times New Roman"/>
          <w:sz w:val="24"/>
          <w:szCs w:val="24"/>
        </w:rPr>
        <w:t xml:space="preserve"> and </w:t>
      </w:r>
      <w:r w:rsidRPr="00BA360E">
        <w:rPr>
          <w:rFonts w:ascii="Times New Roman" w:hAnsi="Times New Roman" w:cs="Times New Roman"/>
          <w:sz w:val="24"/>
          <w:szCs w:val="24"/>
        </w:rPr>
        <w:t xml:space="preserve">3. Rolling NSC and Rolling SVM </w:t>
      </w:r>
      <w:r>
        <w:rPr>
          <w:rFonts w:ascii="Times New Roman" w:hAnsi="Times New Roman" w:cs="Times New Roman"/>
          <w:sz w:val="24"/>
          <w:szCs w:val="24"/>
        </w:rPr>
        <w:t xml:space="preserve">both </w:t>
      </w:r>
      <w:r w:rsidRPr="00BA360E">
        <w:rPr>
          <w:rFonts w:ascii="Times New Roman" w:hAnsi="Times New Roman" w:cs="Times New Roman"/>
          <w:sz w:val="24"/>
          <w:szCs w:val="24"/>
        </w:rPr>
        <w:t>reveal similar stylistic takeovers. Interestingly, the main change in style takes place roughly between the Testaments (dashed vertical line).</w:t>
      </w:r>
    </w:p>
    <w:p w:rsidR="00920D2A" w:rsidRPr="00BA360E" w:rsidRDefault="00920D2A">
      <w:pPr>
        <w:pStyle w:val="Standard"/>
        <w:rPr>
          <w:rFonts w:ascii="Times New Roman" w:hAnsi="Times New Roman" w:cs="Times New Roman"/>
          <w:sz w:val="24"/>
          <w:szCs w:val="24"/>
        </w:rPr>
      </w:pPr>
    </w:p>
    <w:p w:rsidR="00920D2A" w:rsidRDefault="00920D2A">
      <w:pPr>
        <w:pStyle w:val="Standard"/>
        <w:rPr>
          <w:rFonts w:ascii="Times New Roman" w:hAnsi="Times New Roman" w:cs="Times New Roman"/>
          <w:sz w:val="24"/>
          <w:szCs w:val="24"/>
        </w:rPr>
      </w:pPr>
    </w:p>
    <w:p w:rsidR="00920D2A" w:rsidRPr="00BA360E" w:rsidRDefault="00920D2A" w:rsidP="000558A1">
      <w:pPr>
        <w:pStyle w:val="Standard"/>
        <w:ind w:firstLine="720"/>
        <w:rPr>
          <w:rFonts w:ascii="Times New Roman" w:hAnsi="Times New Roman" w:cs="Times New Roman"/>
          <w:sz w:val="24"/>
          <w:szCs w:val="24"/>
        </w:rPr>
      </w:pPr>
    </w:p>
    <w:p w:rsidR="00BA360E" w:rsidRDefault="009D7631">
      <w:pPr>
        <w:pStyle w:val="Standard"/>
        <w:rPr>
          <w:rFonts w:ascii="Times New Roman" w:hAnsi="Times New Roman" w:cs="Times New Roman"/>
          <w:sz w:val="24"/>
          <w:szCs w:val="24"/>
        </w:rPr>
      </w:pPr>
      <w:r w:rsidRPr="00BA360E">
        <w:rPr>
          <w:rFonts w:ascii="Times New Roman" w:hAnsi="Times New Roman" w:cs="Times New Roman"/>
          <w:noProof/>
          <w:sz w:val="24"/>
          <w:szCs w:val="24"/>
          <w:lang w:eastAsia="en-US" w:bidi="ar-SA"/>
        </w:rPr>
        <w:lastRenderedPageBreak/>
        <mc:AlternateContent>
          <mc:Choice Requires="wps">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5943600" cy="2377440"/>
                <wp:effectExtent l="0" t="0" r="0" b="0"/>
                <wp:wrapTopAndBottom/>
                <wp:docPr id="4" name="Frame2"/>
                <wp:cNvGraphicFramePr/>
                <a:graphic xmlns:a="http://schemas.openxmlformats.org/drawingml/2006/main">
                  <a:graphicData uri="http://schemas.microsoft.com/office/word/2010/wordprocessingShape">
                    <wps:wsp>
                      <wps:cNvSpPr txBox="1"/>
                      <wps:spPr>
                        <a:xfrm>
                          <a:off x="0" y="0"/>
                          <a:ext cx="5943600" cy="2377440"/>
                        </a:xfrm>
                        <a:prstGeom prst="rect">
                          <a:avLst/>
                        </a:prstGeom>
                        <a:ln>
                          <a:noFill/>
                          <a:prstDash/>
                        </a:ln>
                      </wps:spPr>
                      <wps:txbx>
                        <w:txbxContent>
                          <w:p w:rsidR="00F3793F" w:rsidRDefault="009D7631">
                            <w:pPr>
                              <w:pStyle w:val="Fig"/>
                            </w:pPr>
                            <w:r>
                              <w:rPr>
                                <w:noProof/>
                                <w:lang w:eastAsia="en-US" w:bidi="ar-SA"/>
                              </w:rPr>
                              <w:drawing>
                                <wp:inline distT="0" distB="0" distL="0" distR="0">
                                  <wp:extent cx="5943600" cy="2377440"/>
                                  <wp:effectExtent l="0" t="0" r="0" b="381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5943600" cy="2377440"/>
                                          </a:xfrm>
                                          <a:prstGeom prst="rect">
                                            <a:avLst/>
                                          </a:prstGeom>
                                          <a:ln>
                                            <a:noFill/>
                                            <a:prstDash/>
                                          </a:ln>
                                        </pic:spPr>
                                      </pic:pic>
                                    </a:graphicData>
                                  </a:graphic>
                                </wp:inline>
                              </w:drawing>
                            </w:r>
                          </w:p>
                        </w:txbxContent>
                      </wps:txbx>
                      <wps:bodyPr vert="horz" wrap="none" lIns="0" tIns="0" rIns="0" bIns="0" compatLnSpc="0">
                        <a:spAutoFit/>
                      </wps:bodyPr>
                    </wps:wsp>
                  </a:graphicData>
                </a:graphic>
              </wp:anchor>
            </w:drawing>
          </mc:Choice>
          <mc:Fallback>
            <w:pict>
              <v:shape id="Frame2" o:spid="_x0000_s1027" type="#_x0000_t202" style="position:absolute;margin-left:0;margin-top:0;width:468pt;height:187.2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" filled="f" stroked="f">
                <v:textbox style="mso-fit-shape-to-text:t" inset="0,0,0,0">
                  <w:txbxContent>
                    <w:p w:rsidR="00F3793F" w:rsidRDefault="009D7631">
                      <w:pPr>
                        <w:pStyle w:val="Fig"/>
                      </w:pPr>
                      <w:r>
                        <w:rPr>
                          <w:noProof/>
                          <w:lang w:eastAsia="en-US" w:bidi="ar-SA"/>
                        </w:rPr>
                        <w:drawing>
                          <wp:inline distT="0" distB="0" distL="0" distR="0">
                            <wp:extent cx="5943600" cy="2377440"/>
                            <wp:effectExtent l="0" t="0" r="0" b="381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5943600" cy="2377440"/>
                                    </a:xfrm>
                                    <a:prstGeom prst="rect">
                                      <a:avLst/>
                                    </a:prstGeom>
                                    <a:ln>
                                      <a:noFill/>
                                      <a:prstDash/>
                                    </a:ln>
                                  </pic:spPr>
                                </pic:pic>
                              </a:graphicData>
                            </a:graphic>
                          </wp:inline>
                        </w:drawing>
                      </w:r>
                    </w:p>
                  </w:txbxContent>
                </v:textbox>
                <w10:wrap type="topAndBottom"/>
              </v:shape>
            </w:pict>
          </mc:Fallback>
        </mc:AlternateContent>
      </w:r>
      <w:r w:rsidR="008037E4">
        <w:rPr>
          <w:rFonts w:ascii="Times New Roman" w:hAnsi="Times New Roman" w:cs="Times New Roman"/>
          <w:sz w:val="24"/>
          <w:szCs w:val="24"/>
        </w:rPr>
        <w:pict>
          <v:rect id="_x0000_i1026" style="width:0;height:1.5pt" o:hralign="center" o:hrstd="t" o:hr="t" fillcolor="#a0a0a0" stroked="f"/>
        </w:pict>
      </w:r>
    </w:p>
    <w:p w:rsidR="00BA360E" w:rsidRPr="000558A1" w:rsidRDefault="00BA360E">
      <w:pPr>
        <w:pStyle w:val="Standard"/>
        <w:rPr>
          <w:rFonts w:ascii="Times New Roman" w:hAnsi="Times New Roman" w:cs="Times New Roman"/>
          <w:sz w:val="24"/>
          <w:szCs w:val="24"/>
        </w:rPr>
      </w:pPr>
      <w:r w:rsidRPr="000558A1">
        <w:rPr>
          <w:rFonts w:ascii="Times New Roman" w:hAnsi="Times New Roman" w:cs="Times New Roman"/>
          <w:sz w:val="24"/>
          <w:szCs w:val="24"/>
        </w:rPr>
        <w:t>Figure 2</w:t>
      </w:r>
      <w:r w:rsidRPr="000558A1">
        <w:rPr>
          <w:rFonts w:ascii="Times New Roman" w:hAnsi="Times New Roman" w:cs="Times New Roman"/>
          <w:i/>
          <w:sz w:val="24"/>
          <w:szCs w:val="24"/>
        </w:rPr>
        <w:t>.</w:t>
      </w:r>
      <w:r w:rsidRPr="000558A1">
        <w:rPr>
          <w:rFonts w:ascii="Times New Roman" w:hAnsi="Times New Roman" w:cs="Times New Roman"/>
          <w:sz w:val="24"/>
          <w:szCs w:val="24"/>
        </w:rPr>
        <w:t xml:space="preserve"> The Vulgate assessed using Rolling NSC and 1000 MFWs. Sections recognized to be similar to the Book of Genesis are marked gray</w:t>
      </w:r>
      <w:r w:rsidRPr="000558A1">
        <w:rPr>
          <w:rFonts w:ascii="Times New Roman" w:hAnsi="Times New Roman" w:cs="Times New Roman"/>
          <w:i/>
          <w:sz w:val="24"/>
          <w:szCs w:val="24"/>
        </w:rPr>
        <w:t>;</w:t>
      </w:r>
      <w:r w:rsidRPr="000558A1">
        <w:rPr>
          <w:rFonts w:ascii="Times New Roman" w:hAnsi="Times New Roman" w:cs="Times New Roman"/>
          <w:sz w:val="24"/>
          <w:szCs w:val="24"/>
        </w:rPr>
        <w:t xml:space="preserve"> sections similar to Acts are marked black.</w:t>
      </w:r>
    </w:p>
    <w:p w:rsidR="00BA360E" w:rsidRDefault="00BA360E">
      <w:pPr>
        <w:pStyle w:val="Standard"/>
        <w:rPr>
          <w:rFonts w:ascii="Times New Roman" w:hAnsi="Times New Roman" w:cs="Times New Roman"/>
        </w:rPr>
      </w:pPr>
    </w:p>
    <w:p w:rsidR="00F3793F" w:rsidRPr="00BA360E" w:rsidRDefault="00F3793F" w:rsidP="000558A1">
      <w:pPr>
        <w:pStyle w:val="Standard"/>
        <w:ind w:firstLine="720"/>
        <w:rPr>
          <w:rFonts w:ascii="Times New Roman" w:hAnsi="Times New Roman" w:cs="Times New Roman"/>
          <w:sz w:val="24"/>
          <w:szCs w:val="24"/>
        </w:rPr>
      </w:pPr>
    </w:p>
    <w:p w:rsidR="00F3793F" w:rsidRDefault="009D7631">
      <w:pPr>
        <w:pStyle w:val="Standard"/>
        <w:rPr>
          <w:rFonts w:ascii="Times New Roman" w:hAnsi="Times New Roman" w:cs="Times New Roman"/>
          <w:sz w:val="24"/>
          <w:szCs w:val="24"/>
        </w:rPr>
      </w:pPr>
      <w:r w:rsidRPr="00BA360E">
        <w:rPr>
          <w:rFonts w:ascii="Times New Roman" w:hAnsi="Times New Roman" w:cs="Times New Roman"/>
          <w:noProof/>
          <w:sz w:val="24"/>
          <w:szCs w:val="24"/>
          <w:lang w:eastAsia="en-US" w:bidi="ar-SA"/>
        </w:rPr>
        <mc:AlternateContent>
          <mc:Choice Requires="wps">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5943600" cy="2377440"/>
                <wp:effectExtent l="0" t="0" r="0" b="0"/>
                <wp:wrapTopAndBottom/>
                <wp:docPr id="6" name="Frame1"/>
                <wp:cNvGraphicFramePr/>
                <a:graphic xmlns:a="http://schemas.openxmlformats.org/drawingml/2006/main">
                  <a:graphicData uri="http://schemas.microsoft.com/office/word/2010/wordprocessingShape">
                    <wps:wsp>
                      <wps:cNvSpPr txBox="1"/>
                      <wps:spPr>
                        <a:xfrm>
                          <a:off x="0" y="0"/>
                          <a:ext cx="5943600" cy="2377440"/>
                        </a:xfrm>
                        <a:prstGeom prst="rect">
                          <a:avLst/>
                        </a:prstGeom>
                        <a:ln>
                          <a:noFill/>
                          <a:prstDash/>
                        </a:ln>
                      </wps:spPr>
                      <wps:txbx>
                        <w:txbxContent>
                          <w:p w:rsidR="00F3793F" w:rsidRPr="000558A1" w:rsidRDefault="009D7631">
                            <w:pPr>
                              <w:pStyle w:val="Fig"/>
                              <w:rPr>
                                <w:rFonts w:ascii="Times New Roman" w:hAnsi="Times New Roman" w:cs="Times New Roman"/>
                                <w:i w:val="0"/>
                              </w:rPr>
                            </w:pPr>
                            <w:r>
                              <w:rPr>
                                <w:noProof/>
                                <w:lang w:eastAsia="en-US" w:bidi="ar-SA"/>
                              </w:rPr>
                              <w:drawing>
                                <wp:inline distT="0" distB="0" distL="0" distR="0">
                                  <wp:extent cx="5943600" cy="2377440"/>
                                  <wp:effectExtent l="0" t="0" r="0" b="3810"/>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5943600" cy="2377440"/>
                                          </a:xfrm>
                                          <a:prstGeom prst="rect">
                                            <a:avLst/>
                                          </a:prstGeom>
                                          <a:ln>
                                            <a:noFill/>
                                            <a:prstDash/>
                                          </a:ln>
                                        </pic:spPr>
                                      </pic:pic>
                                    </a:graphicData>
                                  </a:graphic>
                                </wp:inline>
                              </w:drawing>
                            </w:r>
                          </w:p>
                        </w:txbxContent>
                      </wps:txbx>
                      <wps:bodyPr vert="horz" wrap="none" lIns="0" tIns="0" rIns="0" bIns="0" compatLnSpc="0">
                        <a:spAutoFit/>
                      </wps:bodyPr>
                    </wps:wsp>
                  </a:graphicData>
                </a:graphic>
              </wp:anchor>
            </w:drawing>
          </mc:Choice>
          <mc:Fallback>
            <w:pict>
              <v:shape id="Frame1" o:spid="_x0000_s1028" type="#_x0000_t202" style="position:absolute;margin-left:0;margin-top:0;width:468pt;height:187.2pt;z-index: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" filled="f" stroked="f">
                <v:textbox style="mso-fit-shape-to-text:t" inset="0,0,0,0">
                  <w:txbxContent>
                    <w:p w:rsidR="00F3793F" w:rsidRPr="000558A1" w:rsidRDefault="009D7631">
                      <w:pPr>
                        <w:pStyle w:val="Fig"/>
                        <w:rPr>
                          <w:rFonts w:ascii="Times New Roman" w:hAnsi="Times New Roman" w:cs="Times New Roman"/>
                          <w:i w:val="0"/>
                        </w:rPr>
                      </w:pPr>
                      <w:r>
                        <w:rPr>
                          <w:noProof/>
                          <w:lang w:eastAsia="en-US" w:bidi="ar-SA"/>
                        </w:rPr>
                        <w:drawing>
                          <wp:inline distT="0" distB="0" distL="0" distR="0">
                            <wp:extent cx="5943600" cy="2377440"/>
                            <wp:effectExtent l="0" t="0" r="0" b="3810"/>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5943600" cy="2377440"/>
                                    </a:xfrm>
                                    <a:prstGeom prst="rect">
                                      <a:avLst/>
                                    </a:prstGeom>
                                    <a:ln>
                                      <a:noFill/>
                                      <a:prstDash/>
                                    </a:ln>
                                  </pic:spPr>
                                </pic:pic>
                              </a:graphicData>
                            </a:graphic>
                          </wp:inline>
                        </w:drawing>
                      </w:r>
                    </w:p>
                  </w:txbxContent>
                </v:textbox>
                <w10:wrap type="topAndBottom"/>
              </v:shape>
            </w:pict>
          </mc:Fallback>
        </mc:AlternateContent>
      </w:r>
      <w:r w:rsidR="008037E4">
        <w:rPr>
          <w:rFonts w:ascii="Times New Roman" w:hAnsi="Times New Roman" w:cs="Times New Roman"/>
          <w:sz w:val="24"/>
          <w:szCs w:val="24"/>
        </w:rPr>
        <w:pict>
          <v:rect id="_x0000_i1027" style="width:0;height:1.5pt" o:hralign="center" o:hrstd="t" o:hr="t" fillcolor="#a0a0a0" stroked="f"/>
        </w:pict>
      </w:r>
    </w:p>
    <w:p w:rsidR="00BA360E" w:rsidRPr="000558A1" w:rsidRDefault="00BA360E">
      <w:pPr>
        <w:pStyle w:val="Standard"/>
        <w:rPr>
          <w:rFonts w:ascii="Times New Roman" w:hAnsi="Times New Roman" w:cs="Times New Roman"/>
          <w:sz w:val="24"/>
          <w:szCs w:val="24"/>
        </w:rPr>
      </w:pPr>
      <w:r w:rsidRPr="000558A1">
        <w:rPr>
          <w:rFonts w:ascii="Times New Roman" w:hAnsi="Times New Roman" w:cs="Times New Roman"/>
          <w:sz w:val="24"/>
          <w:szCs w:val="24"/>
        </w:rPr>
        <w:t>Figure 3. The Vulgate assessed using Rolling SVM and 100MFWs.</w:t>
      </w:r>
    </w:p>
    <w:p w:rsidR="00BA360E" w:rsidRDefault="00BA360E">
      <w:pPr>
        <w:pStyle w:val="Standard"/>
        <w:rPr>
          <w:rFonts w:ascii="Times New Roman" w:hAnsi="Times New Roman" w:cs="Times New Roman"/>
          <w:sz w:val="24"/>
          <w:szCs w:val="24"/>
        </w:rPr>
      </w:pPr>
    </w:p>
    <w:p w:rsidR="00210F8A" w:rsidRPr="00BA360E" w:rsidRDefault="00210F8A">
      <w:pPr>
        <w:pStyle w:val="Standard"/>
        <w:rPr>
          <w:rFonts w:ascii="Times New Roman" w:hAnsi="Times New Roman" w:cs="Times New Roman"/>
          <w:sz w:val="24"/>
          <w:szCs w:val="24"/>
        </w:rPr>
      </w:pPr>
      <w:bookmarkStart w:id="2" w:name="_GoBack"/>
      <w:bookmarkEnd w:id="2"/>
    </w:p>
    <w:p w:rsidR="00F3793F" w:rsidRPr="00BA360E" w:rsidRDefault="009D7631" w:rsidP="00210F8A">
      <w:pPr>
        <w:pStyle w:val="Heading2"/>
        <w:spacing w:before="0" w:line="320" w:lineRule="exact"/>
        <w:rPr>
          <w:rFonts w:ascii="Times New Roman" w:hAnsi="Times New Roman" w:cs="Times New Roman"/>
          <w:sz w:val="24"/>
          <w:szCs w:val="24"/>
        </w:rPr>
      </w:pPr>
      <w:r w:rsidRPr="00BA360E">
        <w:rPr>
          <w:rFonts w:ascii="Times New Roman" w:hAnsi="Times New Roman" w:cs="Times New Roman"/>
          <w:sz w:val="24"/>
          <w:szCs w:val="24"/>
        </w:rPr>
        <w:t>References</w:t>
      </w:r>
    </w:p>
    <w:p w:rsidR="00F3793F" w:rsidRPr="00BA360E" w:rsidRDefault="009D7631" w:rsidP="00210F8A">
      <w:pPr>
        <w:pStyle w:val="Standard"/>
        <w:spacing w:line="320" w:lineRule="exact"/>
        <w:rPr>
          <w:rFonts w:ascii="Times New Roman" w:hAnsi="Times New Roman" w:cs="Times New Roman"/>
          <w:sz w:val="24"/>
          <w:szCs w:val="24"/>
        </w:rPr>
      </w:pPr>
      <w:r w:rsidRPr="00BA360E">
        <w:rPr>
          <w:rFonts w:ascii="Times New Roman" w:hAnsi="Times New Roman" w:cs="Times New Roman"/>
          <w:b/>
          <w:sz w:val="24"/>
          <w:szCs w:val="24"/>
        </w:rPr>
        <w:t>Burrows, J.</w:t>
      </w:r>
      <w:r w:rsidRPr="00BA360E">
        <w:rPr>
          <w:rFonts w:ascii="Times New Roman" w:hAnsi="Times New Roman" w:cs="Times New Roman"/>
          <w:sz w:val="24"/>
          <w:szCs w:val="24"/>
        </w:rPr>
        <w:t xml:space="preserve"> (2010). Never </w:t>
      </w:r>
      <w:r w:rsidR="00920D2A">
        <w:rPr>
          <w:rFonts w:ascii="Times New Roman" w:hAnsi="Times New Roman" w:cs="Times New Roman"/>
          <w:sz w:val="24"/>
          <w:szCs w:val="24"/>
        </w:rPr>
        <w:t>S</w:t>
      </w:r>
      <w:r w:rsidRPr="00BA360E">
        <w:rPr>
          <w:rFonts w:ascii="Times New Roman" w:hAnsi="Times New Roman" w:cs="Times New Roman"/>
          <w:sz w:val="24"/>
          <w:szCs w:val="24"/>
        </w:rPr>
        <w:t xml:space="preserve">ay </w:t>
      </w:r>
      <w:r w:rsidR="00920D2A">
        <w:rPr>
          <w:rFonts w:ascii="Times New Roman" w:hAnsi="Times New Roman" w:cs="Times New Roman"/>
          <w:sz w:val="24"/>
          <w:szCs w:val="24"/>
        </w:rPr>
        <w:t>A</w:t>
      </w:r>
      <w:r w:rsidRPr="00BA360E">
        <w:rPr>
          <w:rFonts w:ascii="Times New Roman" w:hAnsi="Times New Roman" w:cs="Times New Roman"/>
          <w:sz w:val="24"/>
          <w:szCs w:val="24"/>
        </w:rPr>
        <w:t xml:space="preserve">lways </w:t>
      </w:r>
      <w:r w:rsidR="00920D2A">
        <w:rPr>
          <w:rFonts w:ascii="Times New Roman" w:hAnsi="Times New Roman" w:cs="Times New Roman"/>
          <w:sz w:val="24"/>
          <w:szCs w:val="24"/>
        </w:rPr>
        <w:t>A</w:t>
      </w:r>
      <w:r w:rsidRPr="00BA360E">
        <w:rPr>
          <w:rFonts w:ascii="Times New Roman" w:hAnsi="Times New Roman" w:cs="Times New Roman"/>
          <w:sz w:val="24"/>
          <w:szCs w:val="24"/>
        </w:rPr>
        <w:t xml:space="preserve">gain: </w:t>
      </w:r>
      <w:r w:rsidR="00920D2A">
        <w:rPr>
          <w:rFonts w:ascii="Times New Roman" w:hAnsi="Times New Roman" w:cs="Times New Roman"/>
          <w:sz w:val="24"/>
          <w:szCs w:val="24"/>
        </w:rPr>
        <w:t>R</w:t>
      </w:r>
      <w:r w:rsidRPr="00BA360E">
        <w:rPr>
          <w:rFonts w:ascii="Times New Roman" w:hAnsi="Times New Roman" w:cs="Times New Roman"/>
          <w:sz w:val="24"/>
          <w:szCs w:val="24"/>
        </w:rPr>
        <w:t xml:space="preserve">eflections on the </w:t>
      </w:r>
      <w:r w:rsidR="00920D2A">
        <w:rPr>
          <w:rFonts w:ascii="Times New Roman" w:hAnsi="Times New Roman" w:cs="Times New Roman"/>
          <w:sz w:val="24"/>
          <w:szCs w:val="24"/>
        </w:rPr>
        <w:t>N</w:t>
      </w:r>
      <w:r w:rsidRPr="00BA360E">
        <w:rPr>
          <w:rFonts w:ascii="Times New Roman" w:hAnsi="Times New Roman" w:cs="Times New Roman"/>
          <w:sz w:val="24"/>
          <w:szCs w:val="24"/>
        </w:rPr>
        <w:t xml:space="preserve">umbers </w:t>
      </w:r>
      <w:r w:rsidR="00920D2A">
        <w:rPr>
          <w:rFonts w:ascii="Times New Roman" w:hAnsi="Times New Roman" w:cs="Times New Roman"/>
          <w:sz w:val="24"/>
          <w:szCs w:val="24"/>
        </w:rPr>
        <w:t>G</w:t>
      </w:r>
      <w:r w:rsidRPr="00BA360E">
        <w:rPr>
          <w:rFonts w:ascii="Times New Roman" w:hAnsi="Times New Roman" w:cs="Times New Roman"/>
          <w:sz w:val="24"/>
          <w:szCs w:val="24"/>
        </w:rPr>
        <w:t>ame. In McCarty, W. (ed</w:t>
      </w:r>
      <w:r w:rsidR="00920D2A">
        <w:rPr>
          <w:rFonts w:ascii="Times New Roman" w:hAnsi="Times New Roman" w:cs="Times New Roman"/>
          <w:sz w:val="24"/>
          <w:szCs w:val="24"/>
        </w:rPr>
        <w:t>.</w:t>
      </w:r>
      <w:r w:rsidRPr="00BA360E">
        <w:rPr>
          <w:rFonts w:ascii="Times New Roman" w:hAnsi="Times New Roman" w:cs="Times New Roman"/>
          <w:sz w:val="24"/>
          <w:szCs w:val="24"/>
        </w:rPr>
        <w:t xml:space="preserve">), </w:t>
      </w:r>
      <w:r w:rsidRPr="00BA360E">
        <w:rPr>
          <w:rFonts w:ascii="Times New Roman" w:hAnsi="Times New Roman" w:cs="Times New Roman"/>
          <w:i/>
          <w:sz w:val="24"/>
          <w:szCs w:val="24"/>
        </w:rPr>
        <w:t>Text and Genre in Reconstruction: Effects of Digitalization on Ideas, Behaviors, Products and Institutions</w:t>
      </w:r>
      <w:r w:rsidRPr="00BA360E">
        <w:rPr>
          <w:rFonts w:ascii="Times New Roman" w:hAnsi="Times New Roman" w:cs="Times New Roman"/>
          <w:sz w:val="24"/>
          <w:szCs w:val="24"/>
        </w:rPr>
        <w:t>. Cambridge: Open Book Publishers, pp. 13–36.</w:t>
      </w:r>
    </w:p>
    <w:p w:rsidR="00F3793F" w:rsidRPr="00BA360E" w:rsidRDefault="009D7631" w:rsidP="00210F8A">
      <w:pPr>
        <w:pStyle w:val="Standard"/>
        <w:spacing w:line="320" w:lineRule="exact"/>
        <w:rPr>
          <w:rFonts w:ascii="Times New Roman" w:hAnsi="Times New Roman" w:cs="Times New Roman"/>
          <w:sz w:val="24"/>
          <w:szCs w:val="24"/>
        </w:rPr>
      </w:pPr>
      <w:r w:rsidRPr="00BA360E">
        <w:rPr>
          <w:rFonts w:ascii="Times New Roman" w:hAnsi="Times New Roman" w:cs="Times New Roman"/>
          <w:b/>
          <w:bCs/>
          <w:sz w:val="24"/>
          <w:szCs w:val="24"/>
        </w:rPr>
        <w:t>Eder, M.</w:t>
      </w:r>
      <w:r w:rsidRPr="00BA360E">
        <w:rPr>
          <w:rFonts w:ascii="Times New Roman" w:hAnsi="Times New Roman" w:cs="Times New Roman"/>
          <w:sz w:val="24"/>
          <w:szCs w:val="24"/>
        </w:rPr>
        <w:t xml:space="preserve"> (2015). Rolling </w:t>
      </w:r>
      <w:r w:rsidR="00920D2A">
        <w:rPr>
          <w:rFonts w:ascii="Times New Roman" w:hAnsi="Times New Roman" w:cs="Times New Roman"/>
          <w:sz w:val="24"/>
          <w:szCs w:val="24"/>
        </w:rPr>
        <w:t>S</w:t>
      </w:r>
      <w:r w:rsidRPr="00BA360E">
        <w:rPr>
          <w:rFonts w:ascii="Times New Roman" w:hAnsi="Times New Roman" w:cs="Times New Roman"/>
          <w:sz w:val="24"/>
          <w:szCs w:val="24"/>
        </w:rPr>
        <w:t xml:space="preserve">tylometry. </w:t>
      </w:r>
      <w:r w:rsidRPr="00BA360E">
        <w:rPr>
          <w:rFonts w:ascii="Times New Roman" w:hAnsi="Times New Roman" w:cs="Times New Roman"/>
          <w:i/>
          <w:iCs/>
          <w:sz w:val="24"/>
          <w:szCs w:val="24"/>
        </w:rPr>
        <w:t>Digital Scholarship in the Humanities</w:t>
      </w:r>
      <w:r w:rsidR="00920D2A">
        <w:rPr>
          <w:rFonts w:ascii="Times New Roman" w:hAnsi="Times New Roman" w:cs="Times New Roman"/>
          <w:sz w:val="24"/>
          <w:szCs w:val="24"/>
        </w:rPr>
        <w:t>.</w:t>
      </w:r>
      <w:r w:rsidRPr="00BA360E">
        <w:rPr>
          <w:rFonts w:ascii="Times New Roman" w:hAnsi="Times New Roman" w:cs="Times New Roman"/>
          <w:sz w:val="24"/>
          <w:szCs w:val="24"/>
        </w:rPr>
        <w:t xml:space="preserve"> 7 April</w:t>
      </w:r>
      <w:r w:rsidR="00920D2A">
        <w:rPr>
          <w:rFonts w:ascii="Times New Roman" w:hAnsi="Times New Roman" w:cs="Times New Roman"/>
          <w:sz w:val="24"/>
          <w:szCs w:val="24"/>
        </w:rPr>
        <w:t xml:space="preserve">, </w:t>
      </w:r>
      <w:r w:rsidRPr="00BA360E">
        <w:rPr>
          <w:rFonts w:ascii="Times New Roman" w:hAnsi="Times New Roman" w:cs="Times New Roman"/>
          <w:sz w:val="24"/>
          <w:szCs w:val="24"/>
        </w:rPr>
        <w:t>http://dx.doi.org/10.1093/llc/fqv010.</w:t>
      </w:r>
    </w:p>
    <w:p w:rsidR="00F3793F" w:rsidRPr="00BA360E" w:rsidRDefault="009D7631" w:rsidP="00210F8A">
      <w:pPr>
        <w:pStyle w:val="Standard"/>
        <w:spacing w:line="320" w:lineRule="exact"/>
        <w:rPr>
          <w:rFonts w:ascii="Times New Roman" w:hAnsi="Times New Roman" w:cs="Times New Roman"/>
          <w:sz w:val="24"/>
          <w:szCs w:val="24"/>
        </w:rPr>
      </w:pPr>
      <w:r w:rsidRPr="00BA360E">
        <w:rPr>
          <w:rFonts w:ascii="Times New Roman" w:hAnsi="Times New Roman" w:cs="Times New Roman"/>
          <w:b/>
          <w:sz w:val="24"/>
          <w:szCs w:val="24"/>
        </w:rPr>
        <w:lastRenderedPageBreak/>
        <w:t>Hoover, D. L.</w:t>
      </w:r>
      <w:r w:rsidRPr="00BA360E">
        <w:rPr>
          <w:rFonts w:ascii="Times New Roman" w:hAnsi="Times New Roman" w:cs="Times New Roman"/>
          <w:sz w:val="24"/>
          <w:szCs w:val="24"/>
        </w:rPr>
        <w:t xml:space="preserve"> (2011). </w:t>
      </w:r>
      <w:r w:rsidR="00920D2A">
        <w:rPr>
          <w:rFonts w:ascii="Times New Roman" w:hAnsi="Times New Roman" w:cs="Times New Roman"/>
          <w:sz w:val="24"/>
          <w:szCs w:val="24"/>
        </w:rPr>
        <w:t>‘</w:t>
      </w:r>
      <w:r w:rsidRPr="00BA360E">
        <w:rPr>
          <w:rFonts w:ascii="Times New Roman" w:hAnsi="Times New Roman" w:cs="Times New Roman"/>
          <w:sz w:val="24"/>
          <w:szCs w:val="24"/>
        </w:rPr>
        <w:t>The Tutor’s Story</w:t>
      </w:r>
      <w:r w:rsidR="00920D2A">
        <w:rPr>
          <w:rFonts w:ascii="Times New Roman" w:hAnsi="Times New Roman" w:cs="Times New Roman"/>
          <w:sz w:val="24"/>
          <w:szCs w:val="24"/>
        </w:rPr>
        <w:t>’</w:t>
      </w:r>
      <w:r w:rsidRPr="00BA360E">
        <w:rPr>
          <w:rFonts w:ascii="Times New Roman" w:hAnsi="Times New Roman" w:cs="Times New Roman"/>
          <w:sz w:val="24"/>
          <w:szCs w:val="24"/>
        </w:rPr>
        <w:t xml:space="preserve">: </w:t>
      </w:r>
      <w:r w:rsidR="00920D2A">
        <w:rPr>
          <w:rFonts w:ascii="Times New Roman" w:hAnsi="Times New Roman" w:cs="Times New Roman"/>
          <w:sz w:val="24"/>
          <w:szCs w:val="24"/>
        </w:rPr>
        <w:t>A</w:t>
      </w:r>
      <w:r w:rsidRPr="00BA360E">
        <w:rPr>
          <w:rFonts w:ascii="Times New Roman" w:hAnsi="Times New Roman" w:cs="Times New Roman"/>
          <w:sz w:val="24"/>
          <w:szCs w:val="24"/>
        </w:rPr>
        <w:t xml:space="preserve"> </w:t>
      </w:r>
      <w:r w:rsidR="00920D2A">
        <w:rPr>
          <w:rFonts w:ascii="Times New Roman" w:hAnsi="Times New Roman" w:cs="Times New Roman"/>
          <w:sz w:val="24"/>
          <w:szCs w:val="24"/>
        </w:rPr>
        <w:t>C</w:t>
      </w:r>
      <w:r w:rsidRPr="00BA360E">
        <w:rPr>
          <w:rFonts w:ascii="Times New Roman" w:hAnsi="Times New Roman" w:cs="Times New Roman"/>
          <w:sz w:val="24"/>
          <w:szCs w:val="24"/>
        </w:rPr>
        <w:t xml:space="preserve">ase </w:t>
      </w:r>
      <w:r w:rsidR="00920D2A">
        <w:rPr>
          <w:rFonts w:ascii="Times New Roman" w:hAnsi="Times New Roman" w:cs="Times New Roman"/>
          <w:sz w:val="24"/>
          <w:szCs w:val="24"/>
        </w:rPr>
        <w:t>S</w:t>
      </w:r>
      <w:r w:rsidRPr="00BA360E">
        <w:rPr>
          <w:rFonts w:ascii="Times New Roman" w:hAnsi="Times New Roman" w:cs="Times New Roman"/>
          <w:sz w:val="24"/>
          <w:szCs w:val="24"/>
        </w:rPr>
        <w:t xml:space="preserve">tudy of </w:t>
      </w:r>
      <w:r w:rsidR="00920D2A">
        <w:rPr>
          <w:rFonts w:ascii="Times New Roman" w:hAnsi="Times New Roman" w:cs="Times New Roman"/>
          <w:sz w:val="24"/>
          <w:szCs w:val="24"/>
        </w:rPr>
        <w:t>M</w:t>
      </w:r>
      <w:r w:rsidRPr="00BA360E">
        <w:rPr>
          <w:rFonts w:ascii="Times New Roman" w:hAnsi="Times New Roman" w:cs="Times New Roman"/>
          <w:sz w:val="24"/>
          <w:szCs w:val="24"/>
        </w:rPr>
        <w:t xml:space="preserve">ixed </w:t>
      </w:r>
      <w:r w:rsidR="00920D2A">
        <w:rPr>
          <w:rFonts w:ascii="Times New Roman" w:hAnsi="Times New Roman" w:cs="Times New Roman"/>
          <w:sz w:val="24"/>
          <w:szCs w:val="24"/>
        </w:rPr>
        <w:t>A</w:t>
      </w:r>
      <w:r w:rsidRPr="00BA360E">
        <w:rPr>
          <w:rFonts w:ascii="Times New Roman" w:hAnsi="Times New Roman" w:cs="Times New Roman"/>
          <w:sz w:val="24"/>
          <w:szCs w:val="24"/>
        </w:rPr>
        <w:t xml:space="preserve">uthorship. In </w:t>
      </w:r>
      <w:r w:rsidRPr="00BA360E">
        <w:rPr>
          <w:rFonts w:ascii="Times New Roman" w:hAnsi="Times New Roman" w:cs="Times New Roman"/>
          <w:i/>
          <w:sz w:val="24"/>
          <w:szCs w:val="24"/>
        </w:rPr>
        <w:t>Digital Humanities: Conference Abstract</w:t>
      </w:r>
      <w:r w:rsidR="00920D2A">
        <w:rPr>
          <w:rFonts w:ascii="Times New Roman" w:hAnsi="Times New Roman" w:cs="Times New Roman"/>
          <w:i/>
          <w:sz w:val="24"/>
          <w:szCs w:val="24"/>
        </w:rPr>
        <w:t>s</w:t>
      </w:r>
      <w:r w:rsidR="00920D2A">
        <w:rPr>
          <w:rFonts w:ascii="Times New Roman" w:hAnsi="Times New Roman" w:cs="Times New Roman"/>
          <w:sz w:val="24"/>
          <w:szCs w:val="24"/>
        </w:rPr>
        <w:t>,</w:t>
      </w:r>
      <w:r w:rsidRPr="00BA360E">
        <w:rPr>
          <w:rFonts w:ascii="Times New Roman" w:hAnsi="Times New Roman" w:cs="Times New Roman"/>
          <w:sz w:val="24"/>
          <w:szCs w:val="24"/>
        </w:rPr>
        <w:t xml:space="preserve"> Stanford, CA</w:t>
      </w:r>
      <w:r w:rsidR="00920D2A">
        <w:rPr>
          <w:rFonts w:ascii="Times New Roman" w:hAnsi="Times New Roman" w:cs="Times New Roman"/>
          <w:sz w:val="24"/>
          <w:szCs w:val="24"/>
        </w:rPr>
        <w:t xml:space="preserve">, </w:t>
      </w:r>
      <w:r w:rsidRPr="00BA360E">
        <w:rPr>
          <w:rFonts w:ascii="Times New Roman" w:hAnsi="Times New Roman" w:cs="Times New Roman"/>
          <w:sz w:val="24"/>
          <w:szCs w:val="24"/>
        </w:rPr>
        <w:t>pp. 149–51.</w:t>
      </w:r>
    </w:p>
    <w:p w:rsidR="00F3793F" w:rsidRPr="00210F8A" w:rsidRDefault="009D7631" w:rsidP="00210F8A">
      <w:pPr>
        <w:pStyle w:val="Standard"/>
        <w:spacing w:line="320" w:lineRule="exact"/>
        <w:rPr>
          <w:rFonts w:ascii="Times New Roman" w:hAnsi="Times New Roman" w:cs="Times New Roman"/>
          <w:sz w:val="24"/>
          <w:szCs w:val="24"/>
        </w:rPr>
      </w:pPr>
      <w:r w:rsidRPr="00BA360E">
        <w:rPr>
          <w:rFonts w:ascii="Times New Roman" w:hAnsi="Times New Roman" w:cs="Times New Roman"/>
          <w:b/>
          <w:sz w:val="24"/>
          <w:szCs w:val="24"/>
        </w:rPr>
        <w:t>Kestemont, M.</w:t>
      </w:r>
      <w:r w:rsidRPr="00BA360E">
        <w:rPr>
          <w:rFonts w:ascii="Times New Roman" w:hAnsi="Times New Roman" w:cs="Times New Roman"/>
          <w:sz w:val="24"/>
          <w:szCs w:val="24"/>
        </w:rPr>
        <w:t xml:space="preserve"> (2010). Velthem et al.</w:t>
      </w:r>
      <w:r w:rsidR="00E12993">
        <w:rPr>
          <w:rFonts w:ascii="Times New Roman" w:hAnsi="Times New Roman" w:cs="Times New Roman"/>
          <w:sz w:val="24"/>
          <w:szCs w:val="24"/>
        </w:rPr>
        <w:t>:</w:t>
      </w:r>
      <w:r w:rsidRPr="00BA360E">
        <w:rPr>
          <w:rFonts w:ascii="Times New Roman" w:hAnsi="Times New Roman" w:cs="Times New Roman"/>
          <w:sz w:val="24"/>
          <w:szCs w:val="24"/>
        </w:rPr>
        <w:t xml:space="preserve"> A </w:t>
      </w:r>
      <w:r w:rsidR="00E12993">
        <w:rPr>
          <w:rFonts w:ascii="Times New Roman" w:hAnsi="Times New Roman" w:cs="Times New Roman"/>
          <w:sz w:val="24"/>
          <w:szCs w:val="24"/>
        </w:rPr>
        <w:t>S</w:t>
      </w:r>
      <w:r w:rsidRPr="00BA360E">
        <w:rPr>
          <w:rFonts w:ascii="Times New Roman" w:hAnsi="Times New Roman" w:cs="Times New Roman"/>
          <w:sz w:val="24"/>
          <w:szCs w:val="24"/>
        </w:rPr>
        <w:t xml:space="preserve">tylometric </w:t>
      </w:r>
      <w:r w:rsidR="00E12993">
        <w:rPr>
          <w:rFonts w:ascii="Times New Roman" w:hAnsi="Times New Roman" w:cs="Times New Roman"/>
          <w:sz w:val="24"/>
          <w:szCs w:val="24"/>
        </w:rPr>
        <w:t>A</w:t>
      </w:r>
      <w:r w:rsidRPr="00BA360E">
        <w:rPr>
          <w:rFonts w:ascii="Times New Roman" w:hAnsi="Times New Roman" w:cs="Times New Roman"/>
          <w:sz w:val="24"/>
          <w:szCs w:val="24"/>
        </w:rPr>
        <w:t xml:space="preserve">nalysis of the </w:t>
      </w:r>
      <w:r w:rsidR="00E12993">
        <w:rPr>
          <w:rFonts w:ascii="Times New Roman" w:hAnsi="Times New Roman" w:cs="Times New Roman"/>
          <w:sz w:val="24"/>
          <w:szCs w:val="24"/>
        </w:rPr>
        <w:t>R</w:t>
      </w:r>
      <w:r w:rsidRPr="00BA360E">
        <w:rPr>
          <w:rFonts w:ascii="Times New Roman" w:hAnsi="Times New Roman" w:cs="Times New Roman"/>
          <w:sz w:val="24"/>
          <w:szCs w:val="24"/>
        </w:rPr>
        <w:t xml:space="preserve">hyme </w:t>
      </w:r>
      <w:r w:rsidR="00E12993">
        <w:rPr>
          <w:rFonts w:ascii="Times New Roman" w:hAnsi="Times New Roman" w:cs="Times New Roman"/>
          <w:sz w:val="24"/>
          <w:szCs w:val="24"/>
        </w:rPr>
        <w:t>W</w:t>
      </w:r>
      <w:r w:rsidRPr="00BA360E">
        <w:rPr>
          <w:rFonts w:ascii="Times New Roman" w:hAnsi="Times New Roman" w:cs="Times New Roman"/>
          <w:sz w:val="24"/>
          <w:szCs w:val="24"/>
        </w:rPr>
        <w:t xml:space="preserve">ords in the </w:t>
      </w:r>
      <w:r w:rsidR="00E12993">
        <w:rPr>
          <w:rFonts w:ascii="Times New Roman" w:hAnsi="Times New Roman" w:cs="Times New Roman"/>
          <w:sz w:val="24"/>
          <w:szCs w:val="24"/>
        </w:rPr>
        <w:t>A</w:t>
      </w:r>
      <w:r w:rsidRPr="00BA360E">
        <w:rPr>
          <w:rFonts w:ascii="Times New Roman" w:hAnsi="Times New Roman" w:cs="Times New Roman"/>
          <w:sz w:val="24"/>
          <w:szCs w:val="24"/>
        </w:rPr>
        <w:t xml:space="preserve">ccount of the </w:t>
      </w:r>
      <w:r w:rsidRPr="00210F8A">
        <w:rPr>
          <w:rFonts w:ascii="Times New Roman" w:hAnsi="Times New Roman" w:cs="Times New Roman"/>
          <w:sz w:val="24"/>
          <w:szCs w:val="24"/>
        </w:rPr>
        <w:t xml:space="preserve">Battle of the Golden Spurs in the </w:t>
      </w:r>
      <w:r w:rsidR="00E12993" w:rsidRPr="00210F8A">
        <w:rPr>
          <w:rFonts w:ascii="Times New Roman" w:hAnsi="Times New Roman" w:cs="Times New Roman"/>
          <w:sz w:val="24"/>
          <w:szCs w:val="24"/>
        </w:rPr>
        <w:t>F</w:t>
      </w:r>
      <w:r w:rsidRPr="00210F8A">
        <w:rPr>
          <w:rFonts w:ascii="Times New Roman" w:hAnsi="Times New Roman" w:cs="Times New Roman"/>
          <w:sz w:val="24"/>
          <w:szCs w:val="24"/>
        </w:rPr>
        <w:t xml:space="preserve">ifth part of the Spiegel </w:t>
      </w:r>
      <w:r w:rsidR="00E12993" w:rsidRPr="00210F8A">
        <w:rPr>
          <w:rFonts w:ascii="Times New Roman" w:hAnsi="Times New Roman" w:cs="Times New Roman"/>
          <w:sz w:val="24"/>
          <w:szCs w:val="24"/>
        </w:rPr>
        <w:t>H</w:t>
      </w:r>
      <w:r w:rsidRPr="00210F8A">
        <w:rPr>
          <w:rFonts w:ascii="Times New Roman" w:hAnsi="Times New Roman" w:cs="Times New Roman"/>
          <w:sz w:val="24"/>
          <w:szCs w:val="24"/>
        </w:rPr>
        <w:t xml:space="preserve">istoriael. </w:t>
      </w:r>
      <w:r w:rsidRPr="00210F8A">
        <w:rPr>
          <w:rFonts w:ascii="Times New Roman" w:hAnsi="Times New Roman" w:cs="Times New Roman"/>
          <w:i/>
          <w:sz w:val="24"/>
          <w:szCs w:val="24"/>
        </w:rPr>
        <w:t>Queeste,</w:t>
      </w:r>
      <w:r w:rsidRPr="00210F8A">
        <w:rPr>
          <w:rFonts w:ascii="Times New Roman" w:hAnsi="Times New Roman" w:cs="Times New Roman"/>
          <w:sz w:val="24"/>
          <w:szCs w:val="24"/>
        </w:rPr>
        <w:t xml:space="preserve"> </w:t>
      </w:r>
      <w:r w:rsidRPr="00210F8A">
        <w:rPr>
          <w:rFonts w:ascii="Times New Roman" w:hAnsi="Times New Roman" w:cs="Times New Roman"/>
          <w:b/>
          <w:sz w:val="24"/>
          <w:szCs w:val="24"/>
        </w:rPr>
        <w:t>17</w:t>
      </w:r>
      <w:r w:rsidRPr="00210F8A">
        <w:rPr>
          <w:rFonts w:ascii="Times New Roman" w:hAnsi="Times New Roman" w:cs="Times New Roman"/>
          <w:sz w:val="24"/>
          <w:szCs w:val="24"/>
        </w:rPr>
        <w:t>: 1–34.</w:t>
      </w:r>
    </w:p>
    <w:p w:rsidR="00F3793F" w:rsidRPr="00210F8A" w:rsidRDefault="009D7631" w:rsidP="00210F8A">
      <w:pPr>
        <w:pStyle w:val="Standard"/>
        <w:spacing w:line="320" w:lineRule="exact"/>
        <w:rPr>
          <w:rFonts w:ascii="Times New Roman" w:hAnsi="Times New Roman" w:cs="Times New Roman"/>
          <w:sz w:val="24"/>
          <w:szCs w:val="24"/>
        </w:rPr>
      </w:pPr>
      <w:r w:rsidRPr="00210F8A">
        <w:rPr>
          <w:rFonts w:ascii="Times New Roman" w:hAnsi="Times New Roman" w:cs="Times New Roman"/>
          <w:b/>
          <w:sz w:val="24"/>
          <w:szCs w:val="24"/>
        </w:rPr>
        <w:t>Rybicki, J.</w:t>
      </w:r>
      <w:r w:rsidRPr="00210F8A">
        <w:rPr>
          <w:rFonts w:ascii="Times New Roman" w:hAnsi="Times New Roman" w:cs="Times New Roman"/>
          <w:sz w:val="24"/>
          <w:szCs w:val="24"/>
        </w:rPr>
        <w:t xml:space="preserve"> (2012). The </w:t>
      </w:r>
      <w:r w:rsidR="00E12993" w:rsidRPr="00210F8A">
        <w:rPr>
          <w:rFonts w:ascii="Times New Roman" w:hAnsi="Times New Roman" w:cs="Times New Roman"/>
          <w:sz w:val="24"/>
          <w:szCs w:val="24"/>
        </w:rPr>
        <w:t>G</w:t>
      </w:r>
      <w:r w:rsidRPr="00210F8A">
        <w:rPr>
          <w:rFonts w:ascii="Times New Roman" w:hAnsi="Times New Roman" w:cs="Times New Roman"/>
          <w:sz w:val="24"/>
          <w:szCs w:val="24"/>
        </w:rPr>
        <w:t xml:space="preserve">reat </w:t>
      </w:r>
      <w:r w:rsidR="00E12993" w:rsidRPr="00210F8A">
        <w:rPr>
          <w:rFonts w:ascii="Times New Roman" w:hAnsi="Times New Roman" w:cs="Times New Roman"/>
          <w:sz w:val="24"/>
          <w:szCs w:val="24"/>
        </w:rPr>
        <w:t>M</w:t>
      </w:r>
      <w:r w:rsidRPr="00210F8A">
        <w:rPr>
          <w:rFonts w:ascii="Times New Roman" w:hAnsi="Times New Roman" w:cs="Times New Roman"/>
          <w:sz w:val="24"/>
          <w:szCs w:val="24"/>
        </w:rPr>
        <w:t>ystery of the (</w:t>
      </w:r>
      <w:r w:rsidR="00E12993" w:rsidRPr="00210F8A">
        <w:rPr>
          <w:rFonts w:ascii="Times New Roman" w:hAnsi="Times New Roman" w:cs="Times New Roman"/>
          <w:sz w:val="24"/>
          <w:szCs w:val="24"/>
        </w:rPr>
        <w:t>A</w:t>
      </w:r>
      <w:r w:rsidRPr="00210F8A">
        <w:rPr>
          <w:rFonts w:ascii="Times New Roman" w:hAnsi="Times New Roman" w:cs="Times New Roman"/>
          <w:sz w:val="24"/>
          <w:szCs w:val="24"/>
        </w:rPr>
        <w:t>lmost</w:t>
      </w:r>
      <w:r w:rsidR="00E12993" w:rsidRPr="00210F8A">
        <w:rPr>
          <w:rFonts w:ascii="Times New Roman" w:hAnsi="Times New Roman" w:cs="Times New Roman"/>
          <w:sz w:val="24"/>
          <w:szCs w:val="24"/>
        </w:rPr>
        <w:t>)</w:t>
      </w:r>
      <w:r w:rsidRPr="00210F8A">
        <w:rPr>
          <w:rFonts w:ascii="Times New Roman" w:hAnsi="Times New Roman" w:cs="Times New Roman"/>
          <w:sz w:val="24"/>
          <w:szCs w:val="24"/>
        </w:rPr>
        <w:t xml:space="preserve"> </w:t>
      </w:r>
      <w:r w:rsidR="00E12993" w:rsidRPr="00210F8A">
        <w:rPr>
          <w:rFonts w:ascii="Times New Roman" w:hAnsi="Times New Roman" w:cs="Times New Roman"/>
          <w:sz w:val="24"/>
          <w:szCs w:val="24"/>
        </w:rPr>
        <w:t>I</w:t>
      </w:r>
      <w:r w:rsidRPr="00210F8A">
        <w:rPr>
          <w:rFonts w:ascii="Times New Roman" w:hAnsi="Times New Roman" w:cs="Times New Roman"/>
          <w:sz w:val="24"/>
          <w:szCs w:val="24"/>
        </w:rPr>
        <w:t xml:space="preserve">nvisible </w:t>
      </w:r>
      <w:r w:rsidR="00E12993" w:rsidRPr="00210F8A">
        <w:rPr>
          <w:rFonts w:ascii="Times New Roman" w:hAnsi="Times New Roman" w:cs="Times New Roman"/>
          <w:sz w:val="24"/>
          <w:szCs w:val="24"/>
        </w:rPr>
        <w:t>T</w:t>
      </w:r>
      <w:r w:rsidRPr="00210F8A">
        <w:rPr>
          <w:rFonts w:ascii="Times New Roman" w:hAnsi="Times New Roman" w:cs="Times New Roman"/>
          <w:sz w:val="24"/>
          <w:szCs w:val="24"/>
        </w:rPr>
        <w:t xml:space="preserve">ranslator. In Oakes, M. P. and Ji, M. (eds), </w:t>
      </w:r>
      <w:r w:rsidRPr="00210F8A">
        <w:rPr>
          <w:rFonts w:ascii="Times New Roman" w:hAnsi="Times New Roman" w:cs="Times New Roman"/>
          <w:i/>
          <w:sz w:val="24"/>
          <w:szCs w:val="24"/>
        </w:rPr>
        <w:t>Quantitative Methods in Corpus-Based Translation Studies</w:t>
      </w:r>
      <w:r w:rsidRPr="00210F8A">
        <w:rPr>
          <w:rFonts w:ascii="Times New Roman" w:hAnsi="Times New Roman" w:cs="Times New Roman"/>
          <w:sz w:val="24"/>
          <w:szCs w:val="24"/>
        </w:rPr>
        <w:t>. Amsterdam: John Benjamins, pp. 231–48.</w:t>
      </w:r>
    </w:p>
    <w:p w:rsidR="00F3793F" w:rsidRPr="00210F8A" w:rsidRDefault="009D7631" w:rsidP="00210F8A">
      <w:pPr>
        <w:pStyle w:val="Standard"/>
        <w:spacing w:line="320" w:lineRule="exact"/>
        <w:rPr>
          <w:rFonts w:ascii="Times New Roman" w:hAnsi="Times New Roman" w:cs="Times New Roman"/>
          <w:sz w:val="24"/>
          <w:szCs w:val="24"/>
        </w:rPr>
      </w:pPr>
      <w:r w:rsidRPr="00210F8A">
        <w:rPr>
          <w:rFonts w:ascii="Times New Roman" w:hAnsi="Times New Roman" w:cs="Times New Roman"/>
          <w:b/>
          <w:sz w:val="24"/>
          <w:szCs w:val="24"/>
        </w:rPr>
        <w:t>Rybicki, J., Kestemont, M. and Hoover D.</w:t>
      </w:r>
      <w:r w:rsidRPr="00210F8A">
        <w:rPr>
          <w:rFonts w:ascii="Times New Roman" w:hAnsi="Times New Roman" w:cs="Times New Roman"/>
          <w:sz w:val="24"/>
          <w:szCs w:val="24"/>
        </w:rPr>
        <w:t xml:space="preserve"> (2014). Collaborative </w:t>
      </w:r>
      <w:r w:rsidR="00E12993" w:rsidRPr="00210F8A">
        <w:rPr>
          <w:rFonts w:ascii="Times New Roman" w:hAnsi="Times New Roman" w:cs="Times New Roman"/>
          <w:sz w:val="24"/>
          <w:szCs w:val="24"/>
        </w:rPr>
        <w:t>A</w:t>
      </w:r>
      <w:r w:rsidRPr="00210F8A">
        <w:rPr>
          <w:rFonts w:ascii="Times New Roman" w:hAnsi="Times New Roman" w:cs="Times New Roman"/>
          <w:sz w:val="24"/>
          <w:szCs w:val="24"/>
        </w:rPr>
        <w:t>uthorship: Conrad, Ford</w:t>
      </w:r>
      <w:r w:rsidR="00E12993" w:rsidRPr="00210F8A">
        <w:rPr>
          <w:rFonts w:ascii="Times New Roman" w:hAnsi="Times New Roman" w:cs="Times New Roman"/>
          <w:sz w:val="24"/>
          <w:szCs w:val="24"/>
        </w:rPr>
        <w:t>,</w:t>
      </w:r>
      <w:r w:rsidRPr="00210F8A">
        <w:rPr>
          <w:rFonts w:ascii="Times New Roman" w:hAnsi="Times New Roman" w:cs="Times New Roman"/>
          <w:sz w:val="24"/>
          <w:szCs w:val="24"/>
        </w:rPr>
        <w:t xml:space="preserve"> and </w:t>
      </w:r>
      <w:r w:rsidR="00E12993" w:rsidRPr="00210F8A">
        <w:rPr>
          <w:rFonts w:ascii="Times New Roman" w:hAnsi="Times New Roman" w:cs="Times New Roman"/>
          <w:sz w:val="24"/>
          <w:szCs w:val="24"/>
        </w:rPr>
        <w:t>R</w:t>
      </w:r>
      <w:r w:rsidRPr="00210F8A">
        <w:rPr>
          <w:rFonts w:ascii="Times New Roman" w:hAnsi="Times New Roman" w:cs="Times New Roman"/>
          <w:sz w:val="24"/>
          <w:szCs w:val="24"/>
        </w:rPr>
        <w:t xml:space="preserve">olling </w:t>
      </w:r>
      <w:r w:rsidR="00E12993" w:rsidRPr="00210F8A">
        <w:rPr>
          <w:rFonts w:ascii="Times New Roman" w:hAnsi="Times New Roman" w:cs="Times New Roman"/>
          <w:sz w:val="24"/>
          <w:szCs w:val="24"/>
        </w:rPr>
        <w:t>D</w:t>
      </w:r>
      <w:r w:rsidRPr="00210F8A">
        <w:rPr>
          <w:rFonts w:ascii="Times New Roman" w:hAnsi="Times New Roman" w:cs="Times New Roman"/>
          <w:sz w:val="24"/>
          <w:szCs w:val="24"/>
        </w:rPr>
        <w:t xml:space="preserve">elta. </w:t>
      </w:r>
      <w:r w:rsidRPr="00210F8A">
        <w:rPr>
          <w:rFonts w:ascii="Times New Roman" w:hAnsi="Times New Roman" w:cs="Times New Roman"/>
          <w:i/>
          <w:sz w:val="24"/>
          <w:szCs w:val="24"/>
        </w:rPr>
        <w:t>Literary and Linguistic Computing,</w:t>
      </w:r>
      <w:r w:rsidRPr="00210F8A">
        <w:rPr>
          <w:rFonts w:ascii="Times New Roman" w:hAnsi="Times New Roman" w:cs="Times New Roman"/>
          <w:sz w:val="24"/>
          <w:szCs w:val="24"/>
        </w:rPr>
        <w:t xml:space="preserve"> </w:t>
      </w:r>
      <w:r w:rsidRPr="00210F8A">
        <w:rPr>
          <w:rFonts w:ascii="Times New Roman" w:hAnsi="Times New Roman" w:cs="Times New Roman"/>
          <w:b/>
          <w:sz w:val="24"/>
          <w:szCs w:val="24"/>
        </w:rPr>
        <w:t>29</w:t>
      </w:r>
      <w:r w:rsidRPr="00210F8A">
        <w:rPr>
          <w:rFonts w:ascii="Times New Roman" w:hAnsi="Times New Roman" w:cs="Times New Roman"/>
          <w:sz w:val="24"/>
          <w:szCs w:val="24"/>
        </w:rPr>
        <w:t>(3): 422–31.</w:t>
      </w:r>
    </w:p>
    <w:p w:rsidR="00F3793F" w:rsidRPr="00210F8A" w:rsidRDefault="009D7631" w:rsidP="00210F8A">
      <w:pPr>
        <w:pStyle w:val="Standard"/>
        <w:spacing w:line="320" w:lineRule="exact"/>
        <w:rPr>
          <w:rFonts w:ascii="Times New Roman" w:hAnsi="Times New Roman" w:cs="Times New Roman"/>
          <w:sz w:val="24"/>
          <w:szCs w:val="24"/>
        </w:rPr>
      </w:pPr>
      <w:r w:rsidRPr="00210F8A">
        <w:rPr>
          <w:rFonts w:ascii="Times New Roman" w:hAnsi="Times New Roman" w:cs="Times New Roman"/>
          <w:b/>
          <w:sz w:val="24"/>
          <w:szCs w:val="24"/>
        </w:rPr>
        <w:t>van Dalen-Oskam, K. and van Zundert, J.</w:t>
      </w:r>
      <w:r w:rsidRPr="00210F8A">
        <w:rPr>
          <w:rFonts w:ascii="Times New Roman" w:hAnsi="Times New Roman" w:cs="Times New Roman"/>
          <w:sz w:val="24"/>
          <w:szCs w:val="24"/>
        </w:rPr>
        <w:t xml:space="preserve"> (2007). Delta for Middle Dutch: </w:t>
      </w:r>
      <w:r w:rsidR="00E12993" w:rsidRPr="00210F8A">
        <w:rPr>
          <w:rFonts w:ascii="Times New Roman" w:hAnsi="Times New Roman" w:cs="Times New Roman"/>
          <w:sz w:val="24"/>
          <w:szCs w:val="24"/>
        </w:rPr>
        <w:t>A</w:t>
      </w:r>
      <w:r w:rsidRPr="00210F8A">
        <w:rPr>
          <w:rFonts w:ascii="Times New Roman" w:hAnsi="Times New Roman" w:cs="Times New Roman"/>
          <w:sz w:val="24"/>
          <w:szCs w:val="24"/>
        </w:rPr>
        <w:t xml:space="preserve">uthor and </w:t>
      </w:r>
      <w:r w:rsidR="00E12993" w:rsidRPr="00210F8A">
        <w:rPr>
          <w:rFonts w:ascii="Times New Roman" w:hAnsi="Times New Roman" w:cs="Times New Roman"/>
          <w:sz w:val="24"/>
          <w:szCs w:val="24"/>
        </w:rPr>
        <w:t>C</w:t>
      </w:r>
      <w:r w:rsidRPr="00210F8A">
        <w:rPr>
          <w:rFonts w:ascii="Times New Roman" w:hAnsi="Times New Roman" w:cs="Times New Roman"/>
          <w:sz w:val="24"/>
          <w:szCs w:val="24"/>
        </w:rPr>
        <w:t xml:space="preserve">opyist </w:t>
      </w:r>
      <w:r w:rsidR="00E12993" w:rsidRPr="00210F8A">
        <w:rPr>
          <w:rFonts w:ascii="Times New Roman" w:hAnsi="Times New Roman" w:cs="Times New Roman"/>
          <w:sz w:val="24"/>
          <w:szCs w:val="24"/>
        </w:rPr>
        <w:t>D</w:t>
      </w:r>
      <w:r w:rsidRPr="00210F8A">
        <w:rPr>
          <w:rFonts w:ascii="Times New Roman" w:hAnsi="Times New Roman" w:cs="Times New Roman"/>
          <w:sz w:val="24"/>
          <w:szCs w:val="24"/>
        </w:rPr>
        <w:t xml:space="preserve">istinction in Walewein. </w:t>
      </w:r>
      <w:r w:rsidRPr="00210F8A">
        <w:rPr>
          <w:rFonts w:ascii="Times New Roman" w:hAnsi="Times New Roman" w:cs="Times New Roman"/>
          <w:i/>
          <w:sz w:val="24"/>
          <w:szCs w:val="24"/>
        </w:rPr>
        <w:t>Literary and Linguistic Computing,</w:t>
      </w:r>
      <w:r w:rsidRPr="00210F8A">
        <w:rPr>
          <w:rFonts w:ascii="Times New Roman" w:hAnsi="Times New Roman" w:cs="Times New Roman"/>
          <w:sz w:val="24"/>
          <w:szCs w:val="24"/>
        </w:rPr>
        <w:t xml:space="preserve"> </w:t>
      </w:r>
      <w:r w:rsidRPr="00210F8A">
        <w:rPr>
          <w:rFonts w:ascii="Times New Roman" w:hAnsi="Times New Roman" w:cs="Times New Roman"/>
          <w:b/>
          <w:sz w:val="24"/>
          <w:szCs w:val="24"/>
        </w:rPr>
        <w:t>22</w:t>
      </w:r>
      <w:r w:rsidRPr="00210F8A">
        <w:rPr>
          <w:rFonts w:ascii="Times New Roman" w:hAnsi="Times New Roman" w:cs="Times New Roman"/>
          <w:sz w:val="24"/>
          <w:szCs w:val="24"/>
        </w:rPr>
        <w:t>: 345–62.</w:t>
      </w:r>
    </w:p>
    <w:p w:rsidR="00F3793F" w:rsidRPr="00BA360E" w:rsidRDefault="00F3793F" w:rsidP="00210F8A">
      <w:pPr>
        <w:pStyle w:val="Standard"/>
        <w:spacing w:line="320" w:lineRule="exact"/>
        <w:rPr>
          <w:rFonts w:ascii="Times New Roman" w:hAnsi="Times New Roman" w:cs="Times New Roman"/>
          <w:sz w:val="24"/>
          <w:szCs w:val="24"/>
        </w:rPr>
      </w:pPr>
    </w:p>
    <w:sectPr w:rsidR="00F3793F" w:rsidRPr="00BA36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7E4" w:rsidRDefault="008037E4">
      <w:pPr>
        <w:spacing w:line="240" w:lineRule="auto"/>
      </w:pPr>
      <w:r>
        <w:separator/>
      </w:r>
    </w:p>
  </w:endnote>
  <w:endnote w:type="continuationSeparator" w:id="0">
    <w:p w:rsidR="008037E4" w:rsidRDefault="00803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7E4" w:rsidRDefault="008037E4">
      <w:pPr>
        <w:spacing w:line="240" w:lineRule="auto"/>
      </w:pPr>
      <w:r>
        <w:ptab w:relativeTo="margin" w:alignment="center" w:leader="none"/>
      </w:r>
    </w:p>
  </w:footnote>
  <w:footnote w:type="continuationSeparator" w:id="0">
    <w:p w:rsidR="008037E4" w:rsidRDefault="008037E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3F"/>
    <w:rsid w:val="000558A1"/>
    <w:rsid w:val="00210F8A"/>
    <w:rsid w:val="008037E4"/>
    <w:rsid w:val="0081443A"/>
    <w:rsid w:val="00920D2A"/>
    <w:rsid w:val="009D7631"/>
    <w:rsid w:val="00BA360E"/>
    <w:rsid w:val="00E12993"/>
    <w:rsid w:val="00F3793F"/>
    <w:rsid w:val="00F42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2BF139-6E98-4BEC-A045-4FCA9D2E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kern w:val="3"/>
        <w:sz w:val="22"/>
        <w:lang w:val="en-US" w:eastAsia="zh-CN" w:bidi="hi-IN"/>
      </w:rPr>
    </w:rPrDefault>
    <w:pPrDefault>
      <w:pPr>
        <w:suppressAutoHyphens/>
        <w:autoSpaceDN w:val="0"/>
        <w:spacing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Standard"/>
    <w:pPr>
      <w:keepNext/>
      <w:keepLines/>
      <w:spacing w:before="200" w:line="240" w:lineRule="auto"/>
      <w:outlineLvl w:val="0"/>
    </w:pPr>
    <w:rPr>
      <w:rFonts w:ascii="Trebuchet MS" w:eastAsia="Trebuchet MS" w:hAnsi="Trebuchet MS" w:cs="Trebuchet MS"/>
      <w:sz w:val="32"/>
    </w:rPr>
  </w:style>
  <w:style w:type="paragraph" w:styleId="Heading2">
    <w:name w:val="heading 2"/>
    <w:next w:val="Standard"/>
    <w:pPr>
      <w:keepNext/>
      <w:keepLines/>
      <w:spacing w:before="200" w:line="240" w:lineRule="auto"/>
      <w:outlineLvl w:val="1"/>
    </w:pPr>
    <w:rPr>
      <w:rFonts w:ascii="Trebuchet MS" w:eastAsia="Trebuchet MS" w:hAnsi="Trebuchet MS" w:cs="Trebuchet MS"/>
      <w:b/>
      <w:sz w:val="26"/>
    </w:rPr>
  </w:style>
  <w:style w:type="paragraph" w:styleId="Heading3">
    <w:name w:val="heading 3"/>
    <w:next w:val="Standard"/>
    <w:pPr>
      <w:keepNext/>
      <w:keepLines/>
      <w:spacing w:before="160" w:line="240" w:lineRule="auto"/>
      <w:outlineLvl w:val="2"/>
    </w:pPr>
    <w:rPr>
      <w:rFonts w:ascii="Trebuchet MS" w:eastAsia="Trebuchet MS" w:hAnsi="Trebuchet MS" w:cs="Trebuchet MS"/>
      <w:b/>
      <w:color w:val="666666"/>
      <w:sz w:val="24"/>
    </w:rPr>
  </w:style>
  <w:style w:type="paragraph" w:styleId="Heading4">
    <w:name w:val="heading 4"/>
    <w:next w:val="Standard"/>
    <w:pPr>
      <w:keepNext/>
      <w:keepLines/>
      <w:spacing w:before="160" w:line="240" w:lineRule="auto"/>
      <w:outlineLvl w:val="3"/>
    </w:pPr>
    <w:rPr>
      <w:rFonts w:ascii="Trebuchet MS" w:eastAsia="Trebuchet MS" w:hAnsi="Trebuchet MS" w:cs="Trebuchet MS"/>
      <w:color w:val="666666"/>
      <w:u w:val="single"/>
    </w:rPr>
  </w:style>
  <w:style w:type="paragraph" w:styleId="Heading5">
    <w:name w:val="heading 5"/>
    <w:next w:val="Standard"/>
    <w:pPr>
      <w:keepNext/>
      <w:keepLines/>
      <w:spacing w:before="160" w:line="240" w:lineRule="auto"/>
      <w:outlineLvl w:val="4"/>
    </w:pPr>
    <w:rPr>
      <w:rFonts w:ascii="Trebuchet MS" w:eastAsia="Trebuchet MS" w:hAnsi="Trebuchet MS" w:cs="Trebuchet MS"/>
      <w:color w:val="666666"/>
    </w:rPr>
  </w:style>
  <w:style w:type="paragraph" w:styleId="Heading6">
    <w:name w:val="heading 6"/>
    <w:next w:val="Standard"/>
    <w:pPr>
      <w:keepNext/>
      <w:keepLines/>
      <w:spacing w:before="160" w:line="240" w:lineRule="auto"/>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napToGrid w:val="0"/>
    </w:pPr>
  </w:style>
  <w:style w:type="paragraph" w:customStyle="1" w:styleId="Heading">
    <w:name w:val="Heading"/>
    <w:basedOn w:val="Standard"/>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customStyle="1" w:styleId="LO-normal">
    <w:name w:val="LO-normal"/>
    <w:pPr>
      <w:keepNext/>
    </w:pPr>
  </w:style>
  <w:style w:type="paragraph" w:styleId="Title">
    <w:name w:val="Title"/>
    <w:basedOn w:val="LO-normal"/>
    <w:next w:val="Standard"/>
    <w:pPr>
      <w:keepLines/>
      <w:spacing w:line="240" w:lineRule="auto"/>
    </w:pPr>
    <w:rPr>
      <w:rFonts w:ascii="Trebuchet MS" w:eastAsia="Trebuchet MS" w:hAnsi="Trebuchet MS" w:cs="Trebuchet MS"/>
      <w:sz w:val="42"/>
    </w:rPr>
  </w:style>
  <w:style w:type="paragraph" w:styleId="Subtitle">
    <w:name w:val="Subtitle"/>
    <w:basedOn w:val="LO-normal"/>
    <w:next w:val="Standard"/>
    <w:pPr>
      <w:keepLines/>
      <w:spacing w:after="200" w:line="240" w:lineRule="auto"/>
    </w:pPr>
    <w:rPr>
      <w:rFonts w:ascii="Trebuchet MS" w:eastAsia="Trebuchet MS" w:hAnsi="Trebuchet MS" w:cs="Trebuchet MS"/>
      <w:i/>
      <w:color w:val="666666"/>
      <w:sz w:val="26"/>
    </w:rPr>
  </w:style>
  <w:style w:type="paragraph" w:customStyle="1" w:styleId="Fig">
    <w:name w:val="Fig."/>
    <w:basedOn w:val="Caption"/>
  </w:style>
  <w:style w:type="paragraph" w:customStyle="1" w:styleId="Framecontents">
    <w:name w:val="Frame contents"/>
    <w:basedOn w:val="Standard"/>
  </w:style>
  <w:style w:type="paragraph" w:customStyle="1" w:styleId="Quotations">
    <w:name w:val="Quotations"/>
    <w:basedOn w:val="Standard"/>
  </w:style>
  <w:style w:type="paragraph" w:styleId="BalloonText">
    <w:name w:val="Balloon Text"/>
    <w:basedOn w:val="Normal"/>
    <w:link w:val="BalloonTextChar"/>
    <w:uiPriority w:val="99"/>
    <w:semiHidden/>
    <w:unhideWhenUsed/>
    <w:rsid w:val="00BA360E"/>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BA360E"/>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0.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Through_the_magnifying_glass.docx</vt:lpstr>
    </vt:vector>
  </TitlesOfParts>
  <Company/>
  <LinksUpToDate>false</LinksUpToDate>
  <CharactersWithSpaces>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Through_the_magnifying_glass.docx</dc:title>
  <dc:creator>Bob2</dc:creator>
  <cp:lastModifiedBy>Bob2</cp:lastModifiedBy>
  <cp:revision>3</cp:revision>
  <cp:lastPrinted>2015-04-24T02:38:00Z</cp:lastPrinted>
  <dcterms:created xsi:type="dcterms:W3CDTF">2015-04-24T03:00:00Z</dcterms:created>
  <dcterms:modified xsi:type="dcterms:W3CDTF">2015-05-04T00:52:00Z</dcterms:modified>
</cp:coreProperties>
</file>