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2179" w:rsidRDefault="001E2179">
      <w:pPr>
        <w:rPr>
          <w:b/>
          <w:bCs/>
          <w:sz w:val="28"/>
          <w:szCs w:val="28"/>
          <w:lang w:val="en-US"/>
        </w:rPr>
      </w:pPr>
      <w:r>
        <w:rPr>
          <w:b/>
          <w:bCs/>
          <w:sz w:val="28"/>
          <w:szCs w:val="28"/>
          <w:lang w:val="en-US"/>
        </w:rPr>
        <w:t>HEIDEN — Progressive</w:t>
      </w:r>
    </w:p>
    <w:p w:rsidR="00C37A2D" w:rsidRPr="001169A2" w:rsidRDefault="00C37A2D">
      <w:pPr>
        <w:rPr>
          <w:bCs/>
          <w:lang w:val="en-US"/>
        </w:rPr>
      </w:pPr>
      <w:r w:rsidRPr="001169A2">
        <w:rPr>
          <w:bCs/>
          <w:lang w:val="en-US"/>
        </w:rPr>
        <w:t>&lt;1 table, 1 figure&gt;</w:t>
      </w:r>
    </w:p>
    <w:p w:rsidR="00C37A2D" w:rsidRDefault="00C37A2D">
      <w:pPr>
        <w:rPr>
          <w:b/>
          <w:bCs/>
          <w:lang w:val="en-US"/>
        </w:rPr>
      </w:pPr>
    </w:p>
    <w:p w:rsidR="00BF05F2" w:rsidRDefault="00F275B9">
      <w:pPr>
        <w:rPr>
          <w:b/>
          <w:bCs/>
          <w:lang w:val="en-US"/>
        </w:rPr>
      </w:pPr>
      <w:r>
        <w:rPr>
          <w:b/>
          <w:bCs/>
          <w:lang w:val="en-US"/>
        </w:rPr>
        <w:t xml:space="preserve">Progressive </w:t>
      </w:r>
      <w:r w:rsidR="003D1D73">
        <w:rPr>
          <w:b/>
          <w:bCs/>
          <w:lang w:val="en-US"/>
        </w:rPr>
        <w:t>P</w:t>
      </w:r>
      <w:r>
        <w:rPr>
          <w:b/>
          <w:bCs/>
          <w:lang w:val="en-US"/>
        </w:rPr>
        <w:t xml:space="preserve">hilology with TXM: </w:t>
      </w:r>
      <w:r w:rsidR="003D1D73">
        <w:rPr>
          <w:b/>
          <w:bCs/>
          <w:lang w:val="en-US"/>
        </w:rPr>
        <w:t>F</w:t>
      </w:r>
      <w:r>
        <w:rPr>
          <w:b/>
          <w:bCs/>
          <w:lang w:val="en-US"/>
        </w:rPr>
        <w:t xml:space="preserve">rom </w:t>
      </w:r>
      <w:r w:rsidR="001E2179">
        <w:rPr>
          <w:b/>
          <w:bCs/>
          <w:lang w:val="en-US"/>
        </w:rPr>
        <w:t>‘</w:t>
      </w:r>
      <w:r w:rsidR="003D1D73">
        <w:rPr>
          <w:b/>
          <w:bCs/>
          <w:lang w:val="en-US"/>
        </w:rPr>
        <w:t>R</w:t>
      </w:r>
      <w:r>
        <w:rPr>
          <w:b/>
          <w:bCs/>
          <w:lang w:val="en-US"/>
        </w:rPr>
        <w:t xml:space="preserve">aw </w:t>
      </w:r>
      <w:r w:rsidR="003D1D73">
        <w:rPr>
          <w:b/>
          <w:bCs/>
          <w:lang w:val="en-US"/>
        </w:rPr>
        <w:t>T</w:t>
      </w:r>
      <w:r>
        <w:rPr>
          <w:b/>
          <w:bCs/>
          <w:lang w:val="en-US"/>
        </w:rPr>
        <w:t>ext</w:t>
      </w:r>
      <w:r w:rsidR="001E2179">
        <w:rPr>
          <w:b/>
          <w:bCs/>
          <w:lang w:val="en-US"/>
        </w:rPr>
        <w:t>’</w:t>
      </w:r>
      <w:r>
        <w:rPr>
          <w:b/>
          <w:bCs/>
          <w:lang w:val="en-US"/>
        </w:rPr>
        <w:t xml:space="preserve"> to </w:t>
      </w:r>
      <w:r w:rsidR="001E2179">
        <w:rPr>
          <w:b/>
          <w:bCs/>
          <w:lang w:val="en-US"/>
        </w:rPr>
        <w:t>‘</w:t>
      </w:r>
      <w:r>
        <w:rPr>
          <w:b/>
          <w:bCs/>
          <w:lang w:val="en-US"/>
        </w:rPr>
        <w:t>TEI</w:t>
      </w:r>
      <w:r w:rsidR="003D1D73">
        <w:rPr>
          <w:b/>
          <w:bCs/>
          <w:lang w:val="en-US"/>
        </w:rPr>
        <w:t xml:space="preserve"> E</w:t>
      </w:r>
      <w:r>
        <w:rPr>
          <w:b/>
          <w:bCs/>
          <w:lang w:val="en-US"/>
        </w:rPr>
        <w:t xml:space="preserve">ncoded </w:t>
      </w:r>
      <w:r w:rsidR="003D1D73">
        <w:rPr>
          <w:b/>
          <w:bCs/>
          <w:lang w:val="en-US"/>
        </w:rPr>
        <w:t>T</w:t>
      </w:r>
      <w:r>
        <w:rPr>
          <w:b/>
          <w:bCs/>
          <w:lang w:val="en-US"/>
        </w:rPr>
        <w:t>ext</w:t>
      </w:r>
      <w:r w:rsidR="001E2179">
        <w:rPr>
          <w:b/>
          <w:bCs/>
          <w:lang w:val="en-US"/>
        </w:rPr>
        <w:t>’</w:t>
      </w:r>
      <w:r>
        <w:rPr>
          <w:b/>
          <w:bCs/>
          <w:lang w:val="en-US"/>
        </w:rPr>
        <w:t xml:space="preserve"> </w:t>
      </w:r>
      <w:r w:rsidR="003D1D73">
        <w:rPr>
          <w:b/>
          <w:bCs/>
          <w:lang w:val="en-US"/>
        </w:rPr>
        <w:t>A</w:t>
      </w:r>
      <w:r>
        <w:rPr>
          <w:b/>
          <w:bCs/>
          <w:lang w:val="en-US"/>
        </w:rPr>
        <w:t xml:space="preserve">nalysis and </w:t>
      </w:r>
      <w:r w:rsidR="003D1D73">
        <w:rPr>
          <w:b/>
          <w:bCs/>
          <w:lang w:val="en-US"/>
        </w:rPr>
        <w:t>M</w:t>
      </w:r>
      <w:r>
        <w:rPr>
          <w:b/>
          <w:bCs/>
          <w:lang w:val="en-US"/>
        </w:rPr>
        <w:t>ining</w:t>
      </w:r>
    </w:p>
    <w:p w:rsidR="00BF05F2" w:rsidRPr="001E2179" w:rsidRDefault="001E2179">
      <w:pPr>
        <w:rPr>
          <w:bCs/>
          <w:lang w:val="en-US"/>
        </w:rPr>
      </w:pPr>
      <w:r>
        <w:rPr>
          <w:bCs/>
          <w:lang w:val="en-US"/>
        </w:rPr>
        <w:t>Heiden, S.</w:t>
      </w:r>
    </w:p>
    <w:p w:rsidR="00BF05F2" w:rsidRDefault="00BF05F2">
      <w:pPr>
        <w:rPr>
          <w:lang w:val="en-US"/>
        </w:rPr>
      </w:pPr>
    </w:p>
    <w:p w:rsidR="00BF05F2" w:rsidRDefault="00F275B9">
      <w:pPr>
        <w:rPr>
          <w:lang w:val="en-US"/>
        </w:rPr>
      </w:pPr>
      <w:r>
        <w:rPr>
          <w:lang w:val="en-US"/>
        </w:rPr>
        <w:t>A typical text analysis workflow combines the following two stages:</w:t>
      </w:r>
    </w:p>
    <w:p w:rsidR="001E2179" w:rsidRDefault="001E2179">
      <w:pPr>
        <w:rPr>
          <w:lang w:val="en-US"/>
        </w:rPr>
      </w:pPr>
    </w:p>
    <w:p w:rsidR="00BF05F2" w:rsidRDefault="001E2179" w:rsidP="001E2179">
      <w:pPr>
        <w:tabs>
          <w:tab w:val="left" w:pos="720"/>
        </w:tabs>
        <w:ind w:left="1080" w:hanging="1080"/>
        <w:rPr>
          <w:lang w:val="en-US"/>
        </w:rPr>
      </w:pPr>
      <w:r>
        <w:rPr>
          <w:lang w:val="en-US"/>
        </w:rPr>
        <w:tab/>
        <w:t>•</w:t>
      </w:r>
      <w:r>
        <w:rPr>
          <w:lang w:val="en-US"/>
        </w:rPr>
        <w:tab/>
        <w:t>P</w:t>
      </w:r>
      <w:r w:rsidR="00F275B9">
        <w:rPr>
          <w:lang w:val="en-US"/>
        </w:rPr>
        <w:t>reparing data</w:t>
      </w:r>
      <w:r w:rsidR="003D1D73">
        <w:rPr>
          <w:lang w:val="en-US"/>
        </w:rPr>
        <w:t>.</w:t>
      </w:r>
      <w:r w:rsidR="00F275B9">
        <w:rPr>
          <w:lang w:val="en-US"/>
        </w:rPr>
        <w:t xml:space="preserve"> </w:t>
      </w:r>
      <w:r w:rsidR="003D1D73">
        <w:rPr>
          <w:lang w:val="en-US"/>
        </w:rPr>
        <w:t>P</w:t>
      </w:r>
      <w:r w:rsidR="00F275B9">
        <w:rPr>
          <w:lang w:val="en-US"/>
        </w:rPr>
        <w:t>hilological methodology establishes the base text, critical apparatus</w:t>
      </w:r>
      <w:r w:rsidR="003D1D73">
        <w:rPr>
          <w:lang w:val="en-US"/>
        </w:rPr>
        <w:t>,</w:t>
      </w:r>
      <w:r w:rsidR="00F275B9">
        <w:rPr>
          <w:lang w:val="en-US"/>
        </w:rPr>
        <w:t xml:space="preserve"> and some analytical information like text metadata (author, date, domain, etc.) to be able to compare domains, authors, etc. with respect to the text</w:t>
      </w:r>
      <w:r w:rsidR="003D1D73">
        <w:rPr>
          <w:lang w:val="en-US"/>
        </w:rPr>
        <w:t>’</w:t>
      </w:r>
      <w:r w:rsidR="00F275B9">
        <w:rPr>
          <w:lang w:val="en-US"/>
        </w:rPr>
        <w:t>s content (word forms or word lemma fr</w:t>
      </w:r>
      <w:r>
        <w:rPr>
          <w:lang w:val="en-US"/>
        </w:rPr>
        <w:t>equency, n-gram frequency, etc</w:t>
      </w:r>
      <w:r w:rsidR="003D1D73">
        <w:rPr>
          <w:lang w:val="en-US"/>
        </w:rPr>
        <w:t>.</w:t>
      </w:r>
      <w:r>
        <w:rPr>
          <w:lang w:val="en-US"/>
        </w:rPr>
        <w:t>).</w:t>
      </w:r>
    </w:p>
    <w:p w:rsidR="001E2179" w:rsidRDefault="001E2179" w:rsidP="001E2179">
      <w:pPr>
        <w:tabs>
          <w:tab w:val="left" w:pos="720"/>
        </w:tabs>
        <w:ind w:left="1080" w:hanging="1080"/>
        <w:rPr>
          <w:lang w:val="en-US"/>
        </w:rPr>
      </w:pPr>
      <w:r>
        <w:rPr>
          <w:lang w:val="en-US"/>
        </w:rPr>
        <w:tab/>
        <w:t>•</w:t>
      </w:r>
      <w:r>
        <w:rPr>
          <w:lang w:val="en-US"/>
        </w:rPr>
        <w:tab/>
        <w:t>P</w:t>
      </w:r>
      <w:r w:rsidR="00F275B9">
        <w:rPr>
          <w:lang w:val="en-US"/>
        </w:rPr>
        <w:t>rocessing</w:t>
      </w:r>
      <w:r w:rsidR="003D1D73">
        <w:rPr>
          <w:lang w:val="en-US"/>
        </w:rPr>
        <w:t>.</w:t>
      </w:r>
      <w:r w:rsidR="00F275B9">
        <w:rPr>
          <w:lang w:val="en-US"/>
        </w:rPr>
        <w:t xml:space="preserve"> </w:t>
      </w:r>
      <w:r w:rsidR="003D1D73">
        <w:rPr>
          <w:lang w:val="en-US"/>
        </w:rPr>
        <w:t>A</w:t>
      </w:r>
      <w:r w:rsidR="00F275B9">
        <w:rPr>
          <w:lang w:val="en-US"/>
        </w:rPr>
        <w:t>nalytic methodology provides the framework to analyze a corpus or sub-corpus of texts with the help of word patterns search and display (concordances) or count (frequency lists) and comparison tools (factorial analysis, clustering)</w:t>
      </w:r>
      <w:r w:rsidR="003D1D73">
        <w:rPr>
          <w:lang w:val="en-US"/>
        </w:rPr>
        <w:t>.</w:t>
      </w:r>
    </w:p>
    <w:p w:rsidR="001E2179" w:rsidRDefault="001E2179" w:rsidP="001E2179">
      <w:pPr>
        <w:ind w:left="360"/>
        <w:rPr>
          <w:lang w:val="en-US"/>
        </w:rPr>
      </w:pPr>
    </w:p>
    <w:p w:rsidR="00BF05F2" w:rsidRDefault="00F275B9" w:rsidP="001E2179">
      <w:pPr>
        <w:rPr>
          <w:lang w:val="en-US"/>
        </w:rPr>
      </w:pPr>
      <w:r>
        <w:rPr>
          <w:lang w:val="en-US"/>
        </w:rPr>
        <w:t>It is convenient to characterize the relation between the data and the processing stages as contractual. That contract is based on the encoding conventions of the digital representation of texts  interpreted by the software to manipulate and display them through interfaces.</w:t>
      </w:r>
    </w:p>
    <w:p w:rsidR="00BF05F2" w:rsidRDefault="00F275B9" w:rsidP="001169A2">
      <w:pPr>
        <w:ind w:firstLine="720"/>
        <w:rPr>
          <w:lang w:val="en-US"/>
        </w:rPr>
      </w:pPr>
      <w:r>
        <w:rPr>
          <w:lang w:val="en-US"/>
        </w:rPr>
        <w:t>Simple conventions (like Unicode character encoding of raw text) can correspond to file formats directly interpreted by the software</w:t>
      </w:r>
      <w:r w:rsidR="003D1D73">
        <w:rPr>
          <w:lang w:val="en-US"/>
        </w:rPr>
        <w:t>;</w:t>
      </w:r>
      <w:r>
        <w:rPr>
          <w:lang w:val="en-US"/>
        </w:rPr>
        <w:t xml:space="preserve"> more elaborate ones (like XML-TEI encoded text) correspond to guidelines </w:t>
      </w:r>
      <w:r w:rsidR="003D1D73">
        <w:rPr>
          <w:lang w:val="en-US"/>
        </w:rPr>
        <w:t xml:space="preserve">that </w:t>
      </w:r>
      <w:r>
        <w:rPr>
          <w:lang w:val="en-US"/>
        </w:rPr>
        <w:t xml:space="preserve">need tuning to be processable by software. This article presents a text analysis workflow implemented in the TXM analysis software in which the data/processing philological contract complexity can be progressively adapted to the needs of the user, balancing costs of encoding with interests in processing and analysis. It will also introduce the delegation model to call external tools (like </w:t>
      </w:r>
      <w:r w:rsidR="001E2179">
        <w:rPr>
          <w:lang w:val="en-US"/>
        </w:rPr>
        <w:t>‘</w:t>
      </w:r>
      <w:r>
        <w:rPr>
          <w:lang w:val="en-US"/>
        </w:rPr>
        <w:t>natural language processing</w:t>
      </w:r>
      <w:r w:rsidR="001E2179">
        <w:rPr>
          <w:lang w:val="en-US"/>
        </w:rPr>
        <w:t>’</w:t>
      </w:r>
      <w:r w:rsidR="003D1D73">
        <w:rPr>
          <w:lang w:val="en-US"/>
        </w:rPr>
        <w:t xml:space="preserve"> [</w:t>
      </w:r>
      <w:r>
        <w:rPr>
          <w:lang w:val="en-US"/>
        </w:rPr>
        <w:t>NLP</w:t>
      </w:r>
      <w:r w:rsidR="003D1D73">
        <w:rPr>
          <w:lang w:val="en-US"/>
        </w:rPr>
        <w:t>]</w:t>
      </w:r>
      <w:r>
        <w:rPr>
          <w:lang w:val="en-US"/>
        </w:rPr>
        <w:t xml:space="preserve"> software as lemmatizers) to automatically enrich encoded texts on the fly while importing them into the platform for analysis.</w:t>
      </w:r>
    </w:p>
    <w:p w:rsidR="00BF05F2" w:rsidRDefault="00BF05F2">
      <w:pPr>
        <w:rPr>
          <w:lang w:val="en-US"/>
        </w:rPr>
      </w:pPr>
    </w:p>
    <w:p w:rsidR="00BF05F2" w:rsidRDefault="00F275B9">
      <w:pPr>
        <w:rPr>
          <w:lang w:val="en-US"/>
        </w:rPr>
      </w:pPr>
      <w:r>
        <w:rPr>
          <w:b/>
          <w:bCs/>
          <w:lang w:val="en-US"/>
        </w:rPr>
        <w:t xml:space="preserve">The TXM </w:t>
      </w:r>
      <w:r w:rsidR="001E2179">
        <w:rPr>
          <w:b/>
          <w:bCs/>
          <w:lang w:val="en-US"/>
        </w:rPr>
        <w:t>A</w:t>
      </w:r>
      <w:r>
        <w:rPr>
          <w:b/>
          <w:bCs/>
          <w:lang w:val="en-US"/>
        </w:rPr>
        <w:t xml:space="preserve">nalysis </w:t>
      </w:r>
      <w:r w:rsidR="001E2179">
        <w:rPr>
          <w:b/>
          <w:bCs/>
          <w:lang w:val="en-US"/>
        </w:rPr>
        <w:t>S</w:t>
      </w:r>
      <w:r>
        <w:rPr>
          <w:b/>
          <w:bCs/>
          <w:lang w:val="en-US"/>
        </w:rPr>
        <w:t>oftware</w:t>
      </w:r>
    </w:p>
    <w:p w:rsidR="00BF05F2" w:rsidRDefault="00F275B9" w:rsidP="00B216B3">
      <w:pPr>
        <w:rPr>
          <w:lang w:val="en-US"/>
        </w:rPr>
      </w:pPr>
      <w:r>
        <w:rPr>
          <w:lang w:val="en-US"/>
        </w:rPr>
        <w:t>The open-source GPL</w:t>
      </w:r>
      <w:r w:rsidR="003D1D73">
        <w:rPr>
          <w:lang w:val="en-US"/>
        </w:rPr>
        <w:t>-</w:t>
      </w:r>
      <w:r>
        <w:rPr>
          <w:lang w:val="en-US"/>
        </w:rPr>
        <w:t xml:space="preserve">licensed TXM software implements an analytic methodology articulating those stages. It provides an import framework </w:t>
      </w:r>
      <w:r w:rsidR="009E6EB1">
        <w:rPr>
          <w:lang w:val="en-US"/>
        </w:rPr>
        <w:t xml:space="preserve">that allows reading of </w:t>
      </w:r>
      <w:r>
        <w:rPr>
          <w:lang w:val="en-US"/>
        </w:rPr>
        <w:t>corpus sources at various levels of encoding and a classic toolbox for text analysis and mining, composed of a versatile and efficient full text search engine, text reading and browsing, sub-corpus and partition building, co</w:t>
      </w:r>
      <w:r w:rsidR="009E6EB1">
        <w:rPr>
          <w:lang w:val="en-US"/>
        </w:rPr>
        <w:t>-</w:t>
      </w:r>
      <w:r>
        <w:rPr>
          <w:lang w:val="en-US"/>
        </w:rPr>
        <w:t>occurrence analysis, factorial analysis</w:t>
      </w:r>
      <w:r w:rsidR="009E6EB1">
        <w:rPr>
          <w:lang w:val="en-US"/>
        </w:rPr>
        <w:t>,</w:t>
      </w:r>
      <w:r>
        <w:rPr>
          <w:lang w:val="en-US"/>
        </w:rPr>
        <w:t xml:space="preserve"> and clustering. It is available as a desktop application for Windows, Mac</w:t>
      </w:r>
      <w:r w:rsidR="009E6EB1">
        <w:rPr>
          <w:lang w:val="en-US"/>
        </w:rPr>
        <w:t>,</w:t>
      </w:r>
      <w:r>
        <w:rPr>
          <w:lang w:val="en-US"/>
        </w:rPr>
        <w:t xml:space="preserve"> or Linux, as well as a web portal software for a server accessed through a web browser (Heiden</w:t>
      </w:r>
      <w:r w:rsidR="00440553">
        <w:rPr>
          <w:lang w:val="en-US"/>
        </w:rPr>
        <w:t>,</w:t>
      </w:r>
      <w:r>
        <w:rPr>
          <w:lang w:val="en-US"/>
        </w:rPr>
        <w:t xml:space="preserve"> 2010). The TXM platform can be downloaded for free at </w:t>
      </w:r>
      <w:r w:rsidR="009E6EB1" w:rsidRPr="001169A2">
        <w:t>http://sf.net/projects/txm</w:t>
      </w:r>
      <w:r>
        <w:rPr>
          <w:lang w:val="en-US"/>
        </w:rPr>
        <w:t>.</w:t>
      </w:r>
    </w:p>
    <w:p w:rsidR="00BF05F2" w:rsidRDefault="00BF05F2">
      <w:pPr>
        <w:rPr>
          <w:lang w:val="en-US"/>
        </w:rPr>
      </w:pPr>
    </w:p>
    <w:p w:rsidR="00BF05F2" w:rsidRDefault="00F275B9">
      <w:pPr>
        <w:jc w:val="both"/>
        <w:rPr>
          <w:lang w:val="en-US"/>
        </w:rPr>
      </w:pPr>
      <w:r>
        <w:rPr>
          <w:b/>
          <w:bCs/>
          <w:lang w:val="en-US"/>
        </w:rPr>
        <w:t xml:space="preserve">Importing </w:t>
      </w:r>
      <w:r w:rsidR="001E2179">
        <w:rPr>
          <w:b/>
          <w:bCs/>
          <w:lang w:val="en-US"/>
        </w:rPr>
        <w:t>C</w:t>
      </w:r>
      <w:r>
        <w:rPr>
          <w:b/>
          <w:bCs/>
          <w:lang w:val="en-US"/>
        </w:rPr>
        <w:t xml:space="preserve">orpora into TXM at </w:t>
      </w:r>
      <w:r w:rsidR="001E2179">
        <w:rPr>
          <w:b/>
          <w:bCs/>
          <w:lang w:val="en-US"/>
        </w:rPr>
        <w:t>P</w:t>
      </w:r>
      <w:r>
        <w:rPr>
          <w:b/>
          <w:bCs/>
          <w:lang w:val="en-US"/>
        </w:rPr>
        <w:t xml:space="preserve">rogressive </w:t>
      </w:r>
      <w:r w:rsidR="001E2179">
        <w:rPr>
          <w:b/>
          <w:bCs/>
          <w:lang w:val="en-US"/>
        </w:rPr>
        <w:t>L</w:t>
      </w:r>
      <w:r>
        <w:rPr>
          <w:b/>
          <w:bCs/>
          <w:lang w:val="en-US"/>
        </w:rPr>
        <w:t xml:space="preserve">evels of </w:t>
      </w:r>
      <w:r w:rsidR="001E2179">
        <w:rPr>
          <w:b/>
          <w:bCs/>
          <w:lang w:val="en-US"/>
        </w:rPr>
        <w:t>E</w:t>
      </w:r>
      <w:r>
        <w:rPr>
          <w:b/>
          <w:bCs/>
          <w:lang w:val="en-US"/>
        </w:rPr>
        <w:t>ncoding</w:t>
      </w:r>
    </w:p>
    <w:p w:rsidR="00BF05F2" w:rsidRDefault="00F275B9" w:rsidP="00B216B3">
      <w:pPr>
        <w:rPr>
          <w:lang w:val="en-US"/>
        </w:rPr>
      </w:pPr>
      <w:r>
        <w:rPr>
          <w:lang w:val="en-US"/>
        </w:rPr>
        <w:t xml:space="preserve">Starting from raw text corpora, the first level of contract is simple and has a low encoding cost barrier: texts may have properties (called metadata) that can be used to compare them or their properties, and words are defined by their character constituents. The text format provides </w:t>
      </w:r>
      <w:r w:rsidR="009E6EB1">
        <w:rPr>
          <w:lang w:val="en-US"/>
        </w:rPr>
        <w:t xml:space="preserve">all </w:t>
      </w:r>
      <w:r>
        <w:rPr>
          <w:lang w:val="en-US"/>
        </w:rPr>
        <w:t>information needed explicitly to the software.</w:t>
      </w:r>
    </w:p>
    <w:p w:rsidR="00BF05F2" w:rsidRDefault="00F275B9" w:rsidP="001169A2">
      <w:pPr>
        <w:ind w:firstLine="720"/>
        <w:rPr>
          <w:lang w:val="en-US"/>
        </w:rPr>
      </w:pPr>
      <w:r>
        <w:rPr>
          <w:lang w:val="en-US"/>
        </w:rPr>
        <w:t xml:space="preserve">To analyze a corpus at such a level of </w:t>
      </w:r>
      <w:bookmarkStart w:id="0" w:name="_GoBack"/>
      <w:bookmarkEnd w:id="0"/>
      <w:r>
        <w:rPr>
          <w:lang w:val="en-US"/>
        </w:rPr>
        <w:t xml:space="preserve">encoding, TXM provides the Unicode </w:t>
      </w:r>
      <w:r w:rsidR="001E2179">
        <w:rPr>
          <w:lang w:val="en-US"/>
        </w:rPr>
        <w:t>‘</w:t>
      </w:r>
      <w:r>
        <w:rPr>
          <w:lang w:val="en-US"/>
        </w:rPr>
        <w:t>TXT+CSV</w:t>
      </w:r>
      <w:r w:rsidR="001E2179">
        <w:rPr>
          <w:lang w:val="en-US"/>
        </w:rPr>
        <w:t>’</w:t>
      </w:r>
      <w:r>
        <w:rPr>
          <w:lang w:val="en-US"/>
        </w:rPr>
        <w:t xml:space="preserve"> import module. The CSV in the name expresses the possibility to associate metadata to each text through an external CSV table file. That table encodes the metadata of each text on a separate line</w:t>
      </w:r>
      <w:r w:rsidR="009E6EB1">
        <w:rPr>
          <w:lang w:val="en-US"/>
        </w:rPr>
        <w:t>,</w:t>
      </w:r>
      <w:r>
        <w:rPr>
          <w:lang w:val="en-US"/>
        </w:rPr>
        <w:t xml:space="preserve"> </w:t>
      </w:r>
      <w:r w:rsidR="009E6EB1">
        <w:rPr>
          <w:lang w:val="en-US"/>
        </w:rPr>
        <w:t>as</w:t>
      </w:r>
      <w:r>
        <w:rPr>
          <w:lang w:val="en-US"/>
        </w:rPr>
        <w:t xml:space="preserve"> in the following excerpt of the Brown corpus metadata table defining the </w:t>
      </w:r>
      <w:r w:rsidR="001E2179">
        <w:rPr>
          <w:lang w:val="en-US"/>
        </w:rPr>
        <w:t>‘</w:t>
      </w:r>
      <w:r>
        <w:rPr>
          <w:lang w:val="en-US"/>
        </w:rPr>
        <w:t>type</w:t>
      </w:r>
      <w:r w:rsidR="001E2179">
        <w:rPr>
          <w:lang w:val="en-US"/>
        </w:rPr>
        <w:t>’</w:t>
      </w:r>
      <w:r>
        <w:rPr>
          <w:lang w:val="en-US"/>
        </w:rPr>
        <w:t xml:space="preserve"> and </w:t>
      </w:r>
      <w:r w:rsidR="001E2179">
        <w:rPr>
          <w:lang w:val="en-US"/>
        </w:rPr>
        <w:t>‘</w:t>
      </w:r>
      <w:r>
        <w:rPr>
          <w:lang w:val="en-US"/>
        </w:rPr>
        <w:t>reference</w:t>
      </w:r>
      <w:r w:rsidR="001E2179">
        <w:rPr>
          <w:lang w:val="en-US"/>
        </w:rPr>
        <w:t>’</w:t>
      </w:r>
      <w:r>
        <w:rPr>
          <w:lang w:val="en-US"/>
        </w:rPr>
        <w:t xml:space="preserve"> metadata (</w:t>
      </w:r>
      <w:r w:rsidR="009D040E">
        <w:rPr>
          <w:lang w:val="en-US"/>
        </w:rPr>
        <w:t>Francis and Kucera</w:t>
      </w:r>
      <w:r>
        <w:rPr>
          <w:lang w:val="en-US"/>
        </w:rPr>
        <w:t>, 1964)</w:t>
      </w:r>
      <w:r w:rsidR="001E2179">
        <w:rPr>
          <w:lang w:val="en-US"/>
        </w:rPr>
        <w:t>:</w:t>
      </w:r>
      <w:r w:rsidR="00440553">
        <w:rPr>
          <w:vertAlign w:val="superscript"/>
          <w:lang w:val="en-US"/>
        </w:rPr>
        <w:t>1</w:t>
      </w:r>
    </w:p>
    <w:p w:rsidR="00BF05F2" w:rsidRDefault="00BF05F2">
      <w:pPr>
        <w:rPr>
          <w:lang w:val="en-US"/>
        </w:rPr>
      </w:pPr>
    </w:p>
    <w:p w:rsidR="009E6EB1" w:rsidRDefault="009E6EB1">
      <w:pPr>
        <w:rPr>
          <w:lang w:val="en-US"/>
        </w:rPr>
      </w:pPr>
    </w:p>
    <w:p w:rsidR="009E6EB1" w:rsidRDefault="009E6EB1">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71"/>
        <w:gridCol w:w="2390"/>
        <w:gridCol w:w="6784"/>
      </w:tblGrid>
      <w:tr w:rsidR="00BF05F2">
        <w:tc>
          <w:tcPr>
            <w:tcW w:w="471" w:type="dxa"/>
            <w:tcBorders>
              <w:top w:val="single" w:sz="1" w:space="0" w:color="000000"/>
              <w:left w:val="single" w:sz="1" w:space="0" w:color="000000"/>
              <w:bottom w:val="single" w:sz="1" w:space="0" w:color="000000"/>
            </w:tcBorders>
            <w:shd w:val="clear" w:color="auto" w:fill="auto"/>
          </w:tcPr>
          <w:p w:rsidR="00BF05F2" w:rsidRDefault="00F275B9">
            <w:pPr>
              <w:rPr>
                <w:b/>
                <w:bCs/>
                <w:lang w:val="en-US"/>
              </w:rPr>
            </w:pPr>
            <w:r>
              <w:rPr>
                <w:b/>
                <w:bCs/>
                <w:lang w:val="en-US"/>
              </w:rPr>
              <w:lastRenderedPageBreak/>
              <w:t>id</w:t>
            </w:r>
          </w:p>
        </w:tc>
        <w:tc>
          <w:tcPr>
            <w:tcW w:w="2390" w:type="dxa"/>
            <w:tcBorders>
              <w:top w:val="single" w:sz="1" w:space="0" w:color="000000"/>
              <w:left w:val="single" w:sz="1" w:space="0" w:color="000000"/>
              <w:bottom w:val="single" w:sz="1" w:space="0" w:color="000000"/>
            </w:tcBorders>
            <w:shd w:val="clear" w:color="auto" w:fill="auto"/>
          </w:tcPr>
          <w:p w:rsidR="00BF05F2" w:rsidRDefault="00F275B9">
            <w:pPr>
              <w:rPr>
                <w:b/>
                <w:bCs/>
                <w:lang w:val="en-US"/>
              </w:rPr>
            </w:pPr>
            <w:r>
              <w:rPr>
                <w:b/>
                <w:bCs/>
                <w:lang w:val="en-US"/>
              </w:rPr>
              <w:t>type</w:t>
            </w:r>
          </w:p>
        </w:tc>
        <w:tc>
          <w:tcPr>
            <w:tcW w:w="6784" w:type="dxa"/>
            <w:tcBorders>
              <w:top w:val="single" w:sz="1" w:space="0" w:color="000000"/>
              <w:left w:val="single" w:sz="1" w:space="0" w:color="000000"/>
              <w:bottom w:val="single" w:sz="1" w:space="0" w:color="000000"/>
              <w:right w:val="single" w:sz="1" w:space="0" w:color="000000"/>
            </w:tcBorders>
            <w:shd w:val="clear" w:color="auto" w:fill="auto"/>
          </w:tcPr>
          <w:p w:rsidR="00BF05F2" w:rsidRDefault="00F275B9">
            <w:pPr>
              <w:rPr>
                <w:lang w:val="en-US"/>
              </w:rPr>
            </w:pPr>
            <w:r>
              <w:rPr>
                <w:b/>
                <w:bCs/>
                <w:lang w:val="en-US"/>
              </w:rPr>
              <w:t>reference</w:t>
            </w:r>
          </w:p>
        </w:tc>
      </w:tr>
      <w:tr w:rsidR="00BF05F2">
        <w:tc>
          <w:tcPr>
            <w:tcW w:w="471" w:type="dxa"/>
            <w:tcBorders>
              <w:left w:val="single" w:sz="1" w:space="0" w:color="000000"/>
              <w:bottom w:val="single" w:sz="1" w:space="0" w:color="000000"/>
            </w:tcBorders>
            <w:shd w:val="clear" w:color="auto" w:fill="auto"/>
          </w:tcPr>
          <w:p w:rsidR="00BF05F2" w:rsidRDefault="00F275B9">
            <w:pPr>
              <w:rPr>
                <w:lang w:val="en-US"/>
              </w:rPr>
            </w:pPr>
            <w:r>
              <w:rPr>
                <w:lang w:val="en-US"/>
              </w:rPr>
              <w:t>a01</w:t>
            </w:r>
          </w:p>
        </w:tc>
        <w:tc>
          <w:tcPr>
            <w:tcW w:w="2390" w:type="dxa"/>
            <w:tcBorders>
              <w:left w:val="single" w:sz="1" w:space="0" w:color="000000"/>
              <w:bottom w:val="single" w:sz="1" w:space="0" w:color="000000"/>
            </w:tcBorders>
            <w:shd w:val="clear" w:color="auto" w:fill="auto"/>
          </w:tcPr>
          <w:p w:rsidR="00BF05F2" w:rsidRDefault="00F275B9">
            <w:pPr>
              <w:rPr>
                <w:lang w:val="en-US"/>
              </w:rPr>
            </w:pPr>
            <w:r>
              <w:rPr>
                <w:lang w:val="en-US"/>
              </w:rPr>
              <w:t>PRESS: REPORTAGE</w:t>
            </w:r>
          </w:p>
        </w:tc>
        <w:tc>
          <w:tcPr>
            <w:tcW w:w="6784" w:type="dxa"/>
            <w:tcBorders>
              <w:left w:val="single" w:sz="1" w:space="0" w:color="000000"/>
              <w:bottom w:val="single" w:sz="1" w:space="0" w:color="000000"/>
              <w:right w:val="single" w:sz="1" w:space="0" w:color="000000"/>
            </w:tcBorders>
            <w:shd w:val="clear" w:color="auto" w:fill="auto"/>
          </w:tcPr>
          <w:p w:rsidR="00BF05F2" w:rsidRDefault="00F275B9">
            <w:pPr>
              <w:rPr>
                <w:lang w:val="en-US"/>
              </w:rPr>
            </w:pPr>
            <w:r>
              <w:rPr>
                <w:lang w:val="en-US"/>
              </w:rPr>
              <w:t>Sample A01 from The Atlanta Constitution</w:t>
            </w:r>
          </w:p>
        </w:tc>
      </w:tr>
      <w:tr w:rsidR="00BF05F2">
        <w:tc>
          <w:tcPr>
            <w:tcW w:w="471" w:type="dxa"/>
            <w:tcBorders>
              <w:left w:val="single" w:sz="1" w:space="0" w:color="000000"/>
              <w:bottom w:val="single" w:sz="1" w:space="0" w:color="000000"/>
            </w:tcBorders>
            <w:shd w:val="clear" w:color="auto" w:fill="auto"/>
          </w:tcPr>
          <w:p w:rsidR="00BF05F2" w:rsidRDefault="00F275B9">
            <w:pPr>
              <w:rPr>
                <w:lang w:val="en-US"/>
              </w:rPr>
            </w:pPr>
            <w:r>
              <w:rPr>
                <w:lang w:val="en-US"/>
              </w:rPr>
              <w:t>a02</w:t>
            </w:r>
          </w:p>
        </w:tc>
        <w:tc>
          <w:tcPr>
            <w:tcW w:w="2390" w:type="dxa"/>
            <w:tcBorders>
              <w:left w:val="single" w:sz="1" w:space="0" w:color="000000"/>
              <w:bottom w:val="single" w:sz="1" w:space="0" w:color="000000"/>
            </w:tcBorders>
            <w:shd w:val="clear" w:color="auto" w:fill="auto"/>
          </w:tcPr>
          <w:p w:rsidR="00BF05F2" w:rsidRDefault="00F275B9">
            <w:pPr>
              <w:rPr>
                <w:lang w:val="en-US"/>
              </w:rPr>
            </w:pPr>
            <w:r>
              <w:rPr>
                <w:lang w:val="en-US"/>
              </w:rPr>
              <w:t>PRESS: REPORTAGE</w:t>
            </w:r>
          </w:p>
        </w:tc>
        <w:tc>
          <w:tcPr>
            <w:tcW w:w="6784" w:type="dxa"/>
            <w:tcBorders>
              <w:left w:val="single" w:sz="1" w:space="0" w:color="000000"/>
              <w:bottom w:val="single" w:sz="1" w:space="0" w:color="000000"/>
              <w:right w:val="single" w:sz="1" w:space="0" w:color="000000"/>
            </w:tcBorders>
            <w:shd w:val="clear" w:color="auto" w:fill="auto"/>
          </w:tcPr>
          <w:p w:rsidR="00BF05F2" w:rsidRDefault="00F275B9">
            <w:pPr>
              <w:rPr>
                <w:lang w:val="en-US"/>
              </w:rPr>
            </w:pPr>
            <w:r>
              <w:rPr>
                <w:lang w:val="en-US"/>
              </w:rPr>
              <w:t>Sample A02 from The Dallas Morning News, February 17,</w:t>
            </w:r>
            <w:r w:rsidR="009E6EB1">
              <w:rPr>
                <w:lang w:val="en-US"/>
              </w:rPr>
              <w:t xml:space="preserve"> </w:t>
            </w:r>
            <w:r>
              <w:rPr>
                <w:lang w:val="en-US"/>
              </w:rPr>
              <w:t>1961,</w:t>
            </w:r>
            <w:r w:rsidR="009E6EB1">
              <w:rPr>
                <w:lang w:val="en-US"/>
              </w:rPr>
              <w:t xml:space="preserve"> </w:t>
            </w:r>
            <w:r>
              <w:rPr>
                <w:lang w:val="en-US"/>
              </w:rPr>
              <w:t>sec</w:t>
            </w:r>
            <w:r w:rsidR="009E6EB1">
              <w:rPr>
                <w:lang w:val="en-US"/>
              </w:rPr>
              <w:t xml:space="preserve">. </w:t>
            </w:r>
            <w:r>
              <w:rPr>
                <w:lang w:val="en-US"/>
              </w:rPr>
              <w:t>1</w:t>
            </w:r>
          </w:p>
        </w:tc>
      </w:tr>
      <w:tr w:rsidR="00BF05F2">
        <w:tc>
          <w:tcPr>
            <w:tcW w:w="471" w:type="dxa"/>
            <w:tcBorders>
              <w:left w:val="single" w:sz="1" w:space="0" w:color="000000"/>
              <w:bottom w:val="single" w:sz="1" w:space="0" w:color="000000"/>
            </w:tcBorders>
            <w:shd w:val="clear" w:color="auto" w:fill="auto"/>
          </w:tcPr>
          <w:p w:rsidR="00BF05F2" w:rsidRDefault="00F275B9">
            <w:pPr>
              <w:rPr>
                <w:lang w:val="en-US"/>
              </w:rPr>
            </w:pPr>
            <w:r>
              <w:rPr>
                <w:lang w:val="en-US"/>
              </w:rPr>
              <w:t>a03</w:t>
            </w:r>
          </w:p>
        </w:tc>
        <w:tc>
          <w:tcPr>
            <w:tcW w:w="2390" w:type="dxa"/>
            <w:tcBorders>
              <w:left w:val="single" w:sz="1" w:space="0" w:color="000000"/>
              <w:bottom w:val="single" w:sz="1" w:space="0" w:color="000000"/>
            </w:tcBorders>
            <w:shd w:val="clear" w:color="auto" w:fill="auto"/>
          </w:tcPr>
          <w:p w:rsidR="00BF05F2" w:rsidRDefault="00F275B9">
            <w:pPr>
              <w:rPr>
                <w:lang w:val="en-US"/>
              </w:rPr>
            </w:pPr>
            <w:r>
              <w:rPr>
                <w:lang w:val="en-US"/>
              </w:rPr>
              <w:t>PRESS: REPORTAGE</w:t>
            </w:r>
          </w:p>
        </w:tc>
        <w:tc>
          <w:tcPr>
            <w:tcW w:w="6784" w:type="dxa"/>
            <w:tcBorders>
              <w:left w:val="single" w:sz="1" w:space="0" w:color="000000"/>
              <w:bottom w:val="single" w:sz="1" w:space="0" w:color="000000"/>
              <w:right w:val="single" w:sz="1" w:space="0" w:color="000000"/>
            </w:tcBorders>
            <w:shd w:val="clear" w:color="auto" w:fill="auto"/>
          </w:tcPr>
          <w:p w:rsidR="00BF05F2" w:rsidRDefault="00F275B9">
            <w:pPr>
              <w:rPr>
                <w:lang w:val="en-US"/>
              </w:rPr>
            </w:pPr>
            <w:r>
              <w:rPr>
                <w:lang w:val="en-US"/>
              </w:rPr>
              <w:t>Sample A03 from Chicago Daily Tribune</w:t>
            </w:r>
          </w:p>
        </w:tc>
      </w:tr>
      <w:tr w:rsidR="00BF05F2">
        <w:tc>
          <w:tcPr>
            <w:tcW w:w="471" w:type="dxa"/>
            <w:tcBorders>
              <w:left w:val="single" w:sz="1" w:space="0" w:color="000000"/>
              <w:bottom w:val="single" w:sz="1" w:space="0" w:color="000000"/>
            </w:tcBorders>
            <w:shd w:val="clear" w:color="auto" w:fill="auto"/>
          </w:tcPr>
          <w:p w:rsidR="00BF05F2" w:rsidRDefault="00F275B9">
            <w:pPr>
              <w:rPr>
                <w:lang w:val="en-US"/>
              </w:rPr>
            </w:pPr>
            <w:r>
              <w:rPr>
                <w:lang w:val="en-US"/>
              </w:rPr>
              <w:t>a04</w:t>
            </w:r>
          </w:p>
        </w:tc>
        <w:tc>
          <w:tcPr>
            <w:tcW w:w="2390" w:type="dxa"/>
            <w:tcBorders>
              <w:left w:val="single" w:sz="1" w:space="0" w:color="000000"/>
              <w:bottom w:val="single" w:sz="1" w:space="0" w:color="000000"/>
            </w:tcBorders>
            <w:shd w:val="clear" w:color="auto" w:fill="auto"/>
          </w:tcPr>
          <w:p w:rsidR="00BF05F2" w:rsidRDefault="00F275B9">
            <w:pPr>
              <w:rPr>
                <w:lang w:val="en-US"/>
              </w:rPr>
            </w:pPr>
            <w:r>
              <w:rPr>
                <w:lang w:val="en-US"/>
              </w:rPr>
              <w:t>PRESS: REPORTAGE</w:t>
            </w:r>
          </w:p>
        </w:tc>
        <w:tc>
          <w:tcPr>
            <w:tcW w:w="6784" w:type="dxa"/>
            <w:tcBorders>
              <w:left w:val="single" w:sz="1" w:space="0" w:color="000000"/>
              <w:bottom w:val="single" w:sz="1" w:space="0" w:color="000000"/>
              <w:right w:val="single" w:sz="1" w:space="0" w:color="000000"/>
            </w:tcBorders>
            <w:shd w:val="clear" w:color="auto" w:fill="auto"/>
          </w:tcPr>
          <w:p w:rsidR="00BF05F2" w:rsidRDefault="00F275B9">
            <w:pPr>
              <w:rPr>
                <w:lang w:val="en-US"/>
              </w:rPr>
            </w:pPr>
            <w:r>
              <w:rPr>
                <w:lang w:val="en-US"/>
              </w:rPr>
              <w:t>Sample A04 from The Christian Science Monitor, May 11,</w:t>
            </w:r>
            <w:r w:rsidR="009E6EB1">
              <w:rPr>
                <w:lang w:val="en-US"/>
              </w:rPr>
              <w:t xml:space="preserve"> </w:t>
            </w:r>
            <w:r>
              <w:rPr>
                <w:lang w:val="en-US"/>
              </w:rPr>
              <w:t>1961, p.</w:t>
            </w:r>
            <w:r w:rsidR="009E6EB1">
              <w:rPr>
                <w:lang w:val="en-US"/>
              </w:rPr>
              <w:t xml:space="preserve"> </w:t>
            </w:r>
            <w:r>
              <w:rPr>
                <w:lang w:val="en-US"/>
              </w:rPr>
              <w:t>1</w:t>
            </w:r>
          </w:p>
        </w:tc>
      </w:tr>
      <w:tr w:rsidR="00BF05F2">
        <w:tc>
          <w:tcPr>
            <w:tcW w:w="471" w:type="dxa"/>
            <w:tcBorders>
              <w:left w:val="single" w:sz="1" w:space="0" w:color="000000"/>
              <w:bottom w:val="single" w:sz="1" w:space="0" w:color="000000"/>
            </w:tcBorders>
            <w:shd w:val="clear" w:color="auto" w:fill="auto"/>
          </w:tcPr>
          <w:p w:rsidR="00BF05F2" w:rsidRDefault="00F275B9">
            <w:pPr>
              <w:rPr>
                <w:lang w:val="en-US"/>
              </w:rPr>
            </w:pPr>
            <w:r>
              <w:rPr>
                <w:lang w:val="en-US"/>
              </w:rPr>
              <w:t>a05</w:t>
            </w:r>
          </w:p>
        </w:tc>
        <w:tc>
          <w:tcPr>
            <w:tcW w:w="2390" w:type="dxa"/>
            <w:tcBorders>
              <w:left w:val="single" w:sz="1" w:space="0" w:color="000000"/>
              <w:bottom w:val="single" w:sz="1" w:space="0" w:color="000000"/>
            </w:tcBorders>
            <w:shd w:val="clear" w:color="auto" w:fill="auto"/>
          </w:tcPr>
          <w:p w:rsidR="00BF05F2" w:rsidRDefault="00F275B9">
            <w:pPr>
              <w:rPr>
                <w:lang w:val="en-US"/>
              </w:rPr>
            </w:pPr>
            <w:r>
              <w:rPr>
                <w:lang w:val="en-US"/>
              </w:rPr>
              <w:t>PRESS: REPORTAGE</w:t>
            </w:r>
          </w:p>
        </w:tc>
        <w:tc>
          <w:tcPr>
            <w:tcW w:w="6784" w:type="dxa"/>
            <w:tcBorders>
              <w:left w:val="single" w:sz="1" w:space="0" w:color="000000"/>
              <w:bottom w:val="single" w:sz="1" w:space="0" w:color="000000"/>
              <w:right w:val="single" w:sz="1" w:space="0" w:color="000000"/>
            </w:tcBorders>
            <w:shd w:val="clear" w:color="auto" w:fill="auto"/>
          </w:tcPr>
          <w:p w:rsidR="00BF05F2" w:rsidRDefault="00F275B9">
            <w:pPr>
              <w:rPr>
                <w:lang w:val="en-US"/>
              </w:rPr>
            </w:pPr>
            <w:r>
              <w:rPr>
                <w:lang w:val="en-US"/>
              </w:rPr>
              <w:t>Sample A05 from The Providence Journal</w:t>
            </w:r>
          </w:p>
        </w:tc>
      </w:tr>
    </w:tbl>
    <w:p w:rsidR="00C37A2D" w:rsidRDefault="00631C31" w:rsidP="00BF05F2">
      <w:pPr>
        <w:pStyle w:val="Tableau"/>
        <w:rPr>
          <w:i w:val="0"/>
          <w:lang w:val="en-US"/>
        </w:rPr>
      </w:pPr>
      <w:r>
        <w:rPr>
          <w:i w:val="0"/>
          <w:lang w:val="en-US"/>
        </w:rPr>
        <w:pict>
          <v:rect id="_x0000_i1025" style="width:0;height:1.5pt" o:hralign="center" o:hrstd="t" o:hr="t" fillcolor="#a0a0a0" stroked="f"/>
        </w:pict>
      </w:r>
    </w:p>
    <w:p w:rsidR="00BF05F2" w:rsidRDefault="00F275B9" w:rsidP="001169A2">
      <w:pPr>
        <w:pStyle w:val="Tableau"/>
        <w:rPr>
          <w:i w:val="0"/>
          <w:lang w:val="en-US"/>
        </w:rPr>
      </w:pPr>
      <w:r w:rsidRPr="001169A2">
        <w:rPr>
          <w:i w:val="0"/>
          <w:lang w:val="en-US"/>
        </w:rPr>
        <w:t>Table</w:t>
      </w:r>
      <w:r w:rsidR="001E2179">
        <w:rPr>
          <w:i w:val="0"/>
          <w:lang w:val="en-US"/>
        </w:rPr>
        <w:t xml:space="preserve"> 1</w:t>
      </w:r>
      <w:r w:rsidR="009E6EB1">
        <w:rPr>
          <w:i w:val="0"/>
          <w:lang w:val="en-US"/>
        </w:rPr>
        <w:t>.</w:t>
      </w:r>
      <w:r w:rsidRPr="001169A2">
        <w:rPr>
          <w:i w:val="0"/>
          <w:lang w:val="en-US"/>
        </w:rPr>
        <w:t xml:space="preserve"> Brown corpus metadata (the </w:t>
      </w:r>
      <w:r w:rsidR="001E2179" w:rsidRPr="001169A2">
        <w:rPr>
          <w:i w:val="0"/>
          <w:lang w:val="en-US"/>
        </w:rPr>
        <w:t>‘</w:t>
      </w:r>
      <w:r w:rsidRPr="001169A2">
        <w:rPr>
          <w:i w:val="0"/>
          <w:lang w:val="en-US"/>
        </w:rPr>
        <w:t>id</w:t>
      </w:r>
      <w:r w:rsidR="001E2179" w:rsidRPr="001169A2">
        <w:rPr>
          <w:i w:val="0"/>
          <w:lang w:val="en-US"/>
        </w:rPr>
        <w:t>’</w:t>
      </w:r>
      <w:r w:rsidRPr="001169A2">
        <w:rPr>
          <w:i w:val="0"/>
          <w:lang w:val="en-US"/>
        </w:rPr>
        <w:t xml:space="preserve"> column encodes text identifiers, </w:t>
      </w:r>
      <w:r w:rsidR="001E2179" w:rsidRPr="001169A2">
        <w:rPr>
          <w:i w:val="0"/>
          <w:lang w:val="en-US"/>
        </w:rPr>
        <w:t>‘</w:t>
      </w:r>
      <w:r w:rsidRPr="001169A2">
        <w:rPr>
          <w:i w:val="0"/>
          <w:lang w:val="en-US"/>
        </w:rPr>
        <w:t>type</w:t>
      </w:r>
      <w:r w:rsidR="001E2179" w:rsidRPr="001169A2">
        <w:rPr>
          <w:i w:val="0"/>
          <w:lang w:val="en-US"/>
        </w:rPr>
        <w:t>’</w:t>
      </w:r>
      <w:r w:rsidRPr="001169A2">
        <w:rPr>
          <w:i w:val="0"/>
          <w:lang w:val="en-US"/>
        </w:rPr>
        <w:t xml:space="preserve"> the genre</w:t>
      </w:r>
      <w:r w:rsidR="001E2179">
        <w:rPr>
          <w:i w:val="0"/>
          <w:lang w:val="en-US"/>
        </w:rPr>
        <w:t>,</w:t>
      </w:r>
      <w:r w:rsidRPr="001169A2">
        <w:rPr>
          <w:i w:val="0"/>
          <w:lang w:val="en-US"/>
        </w:rPr>
        <w:t xml:space="preserve"> and </w:t>
      </w:r>
      <w:r w:rsidR="001E2179" w:rsidRPr="001169A2">
        <w:rPr>
          <w:i w:val="0"/>
          <w:lang w:val="en-US"/>
        </w:rPr>
        <w:t>‘</w:t>
      </w:r>
      <w:r w:rsidRPr="001169A2">
        <w:rPr>
          <w:i w:val="0"/>
          <w:lang w:val="en-US"/>
        </w:rPr>
        <w:t>reference</w:t>
      </w:r>
      <w:r w:rsidR="001E2179" w:rsidRPr="001169A2">
        <w:rPr>
          <w:i w:val="0"/>
          <w:lang w:val="en-US"/>
        </w:rPr>
        <w:t>’</w:t>
      </w:r>
      <w:r w:rsidRPr="001169A2">
        <w:rPr>
          <w:i w:val="0"/>
          <w:lang w:val="en-US"/>
        </w:rPr>
        <w:t xml:space="preserve"> the source)</w:t>
      </w:r>
      <w:r w:rsidR="001E2179">
        <w:rPr>
          <w:i w:val="0"/>
          <w:lang w:val="en-US"/>
        </w:rPr>
        <w:t>.</w:t>
      </w:r>
    </w:p>
    <w:p w:rsidR="001E2179" w:rsidRDefault="00F275B9" w:rsidP="001169A2">
      <w:pPr>
        <w:ind w:firstLine="720"/>
        <w:rPr>
          <w:lang w:val="en-US"/>
        </w:rPr>
      </w:pPr>
      <w:r>
        <w:rPr>
          <w:lang w:val="en-US"/>
        </w:rPr>
        <w:t>When it comes to TEI encoded texts, the contract is more complex and fuzzy, especially because the TEI provides guidelines for encoding but not as prescriptive as a format can do. One can typically use several different ways to encode a particular text component. This is needed for scholars to adopt the technology: it provides ways to encode texts we haven</w:t>
      </w:r>
      <w:r w:rsidR="001E2179">
        <w:rPr>
          <w:lang w:val="en-US"/>
        </w:rPr>
        <w:t>’</w:t>
      </w:r>
      <w:r>
        <w:rPr>
          <w:lang w:val="en-US"/>
        </w:rPr>
        <w:t>t read yet, for which we haven</w:t>
      </w:r>
      <w:r w:rsidR="001E2179">
        <w:rPr>
          <w:lang w:val="en-US"/>
        </w:rPr>
        <w:t>’</w:t>
      </w:r>
      <w:r>
        <w:rPr>
          <w:lang w:val="en-US"/>
        </w:rPr>
        <w:t>t established the base text or the critical apparatus yet. For a given project, the TEI encoding practice should be much more specific and documented because scholars need to share the same conventions to cross</w:t>
      </w:r>
      <w:r w:rsidR="009E6EB1">
        <w:rPr>
          <w:lang w:val="en-US"/>
        </w:rPr>
        <w:t>-</w:t>
      </w:r>
      <w:r>
        <w:rPr>
          <w:lang w:val="en-US"/>
        </w:rPr>
        <w:t>validate their philological work. In such a context, it is possible to tune the software based on the conventions documentation to import the specific TEI sources and build the necessary corpus model to process it.</w:t>
      </w:r>
    </w:p>
    <w:p w:rsidR="00BF05F2" w:rsidRDefault="00F275B9" w:rsidP="001169A2">
      <w:pPr>
        <w:ind w:firstLine="720"/>
        <w:rPr>
          <w:lang w:val="en-US"/>
        </w:rPr>
      </w:pPr>
      <w:r>
        <w:rPr>
          <w:lang w:val="en-US"/>
        </w:rPr>
        <w:t>To analyze a corpus at such a level of encoding, TXM provides pre-tuned TEI import modules for each documented TEI practice</w:t>
      </w:r>
      <w:r w:rsidR="009E6EB1">
        <w:rPr>
          <w:lang w:val="en-US"/>
        </w:rPr>
        <w:t>—</w:t>
      </w:r>
      <w:r>
        <w:rPr>
          <w:lang w:val="en-US"/>
        </w:rPr>
        <w:t>for example</w:t>
      </w:r>
      <w:r w:rsidR="009E6EB1">
        <w:rPr>
          <w:lang w:val="en-US"/>
        </w:rPr>
        <w:t>,</w:t>
      </w:r>
      <w:r>
        <w:rPr>
          <w:lang w:val="en-US"/>
        </w:rPr>
        <w:t xml:space="preserve"> the </w:t>
      </w:r>
      <w:r w:rsidR="001E2179">
        <w:rPr>
          <w:lang w:val="en-US"/>
        </w:rPr>
        <w:t>‘</w:t>
      </w:r>
      <w:r>
        <w:rPr>
          <w:lang w:val="en-US"/>
        </w:rPr>
        <w:t>XML-TEI BFM</w:t>
      </w:r>
      <w:r w:rsidR="001E2179">
        <w:rPr>
          <w:lang w:val="en-US"/>
        </w:rPr>
        <w:t>’</w:t>
      </w:r>
      <w:r>
        <w:rPr>
          <w:lang w:val="en-US"/>
        </w:rPr>
        <w:t xml:space="preserve"> import module for texts encoded according to the BFM corpus TEI encoding practice (Heiden</w:t>
      </w:r>
      <w:r w:rsidR="009E6EB1">
        <w:rPr>
          <w:lang w:val="en-US"/>
        </w:rPr>
        <w:t xml:space="preserve"> et al.</w:t>
      </w:r>
      <w:r>
        <w:rPr>
          <w:lang w:val="en-US"/>
        </w:rPr>
        <w:t>, 2010).</w:t>
      </w:r>
    </w:p>
    <w:p w:rsidR="00BF05F2" w:rsidRDefault="00F275B9" w:rsidP="001169A2">
      <w:pPr>
        <w:ind w:firstLine="720"/>
        <w:rPr>
          <w:lang w:val="en-US"/>
        </w:rPr>
      </w:pPr>
      <w:r>
        <w:rPr>
          <w:lang w:val="en-US"/>
        </w:rPr>
        <w:t xml:space="preserve">To analyze a corpus encoded with an unknown TEI practice, TXM provides the generic </w:t>
      </w:r>
      <w:r w:rsidR="001E2179">
        <w:rPr>
          <w:lang w:val="en-US"/>
        </w:rPr>
        <w:t>‘</w:t>
      </w:r>
      <w:r>
        <w:rPr>
          <w:lang w:val="en-US"/>
        </w:rPr>
        <w:t>XML/w+CSV</w:t>
      </w:r>
      <w:r w:rsidR="001E2179">
        <w:rPr>
          <w:lang w:val="en-US"/>
        </w:rPr>
        <w:t>’</w:t>
      </w:r>
      <w:r>
        <w:rPr>
          <w:lang w:val="en-US"/>
        </w:rPr>
        <w:t xml:space="preserve"> import module. That module provides a simple way to adapt any XML or TEI encoding through an XSLT transformation stylesheet into the </w:t>
      </w:r>
      <w:r w:rsidR="001E2179">
        <w:rPr>
          <w:lang w:val="en-US"/>
        </w:rPr>
        <w:t>‘</w:t>
      </w:r>
      <w:r>
        <w:rPr>
          <w:lang w:val="en-US"/>
        </w:rPr>
        <w:t>XML-TEI TXM</w:t>
      </w:r>
      <w:r w:rsidR="001E2179">
        <w:rPr>
          <w:lang w:val="en-US"/>
        </w:rPr>
        <w:t>’</w:t>
      </w:r>
      <w:r>
        <w:rPr>
          <w:lang w:val="en-US"/>
        </w:rPr>
        <w:t xml:space="preserve"> format designed for the TXM corpus model.</w:t>
      </w:r>
    </w:p>
    <w:p w:rsidR="00BF05F2" w:rsidRPr="009E6EB1" w:rsidRDefault="00F275B9" w:rsidP="001169A2">
      <w:pPr>
        <w:ind w:firstLine="720"/>
        <w:rPr>
          <w:lang w:val="en-US"/>
        </w:rPr>
      </w:pPr>
      <w:r>
        <w:rPr>
          <w:lang w:val="en-US"/>
        </w:rPr>
        <w:t xml:space="preserve">TXM is </w:t>
      </w:r>
      <w:r w:rsidR="009E6EB1">
        <w:rPr>
          <w:lang w:val="en-US"/>
        </w:rPr>
        <w:t xml:space="preserve">available </w:t>
      </w:r>
      <w:r>
        <w:rPr>
          <w:lang w:val="en-US"/>
        </w:rPr>
        <w:t xml:space="preserve">with a library of several XML and TEI adaptation stylesheets: </w:t>
      </w:r>
      <w:r w:rsidR="009E6EB1" w:rsidRPr="001169A2">
        <w:t>https://sourceforge.net/projects/txm/files/library/xsl</w:t>
      </w:r>
      <w:r w:rsidR="009E6EB1">
        <w:rPr>
          <w:lang w:val="en-US"/>
        </w:rPr>
        <w:t>.</w:t>
      </w:r>
    </w:p>
    <w:p w:rsidR="00BF05F2" w:rsidRDefault="00F275B9" w:rsidP="001169A2">
      <w:pPr>
        <w:ind w:firstLine="720"/>
        <w:rPr>
          <w:lang w:val="en-US"/>
        </w:rPr>
      </w:pPr>
      <w:r>
        <w:rPr>
          <w:lang w:val="en-US"/>
        </w:rPr>
        <w:t xml:space="preserve">The </w:t>
      </w:r>
      <w:r w:rsidR="001E2179">
        <w:rPr>
          <w:lang w:val="en-US"/>
        </w:rPr>
        <w:t>‘</w:t>
      </w:r>
      <w:r>
        <w:rPr>
          <w:lang w:val="en-US"/>
        </w:rPr>
        <w:t>XML/w+CSV</w:t>
      </w:r>
      <w:r w:rsidR="001E2179">
        <w:rPr>
          <w:lang w:val="en-US"/>
        </w:rPr>
        <w:t>’</w:t>
      </w:r>
      <w:r>
        <w:rPr>
          <w:lang w:val="en-US"/>
        </w:rPr>
        <w:t xml:space="preserve"> import module is part of the progressive TXM import framework</w:t>
      </w:r>
      <w:r w:rsidR="009E6EB1">
        <w:rPr>
          <w:lang w:val="en-US"/>
        </w:rPr>
        <w:t>,</w:t>
      </w:r>
      <w:r>
        <w:rPr>
          <w:lang w:val="en-US"/>
        </w:rPr>
        <w:t xml:space="preserve"> which is built on a concentric format model (every format is based on the format of lower-outer level): Unicode TXT &lt; XML &lt; TEI &lt; XML-TEI TXM:</w:t>
      </w:r>
    </w:p>
    <w:p w:rsidR="001E2179" w:rsidRDefault="001E2179">
      <w:pPr>
        <w:rPr>
          <w:lang w:val="en-US"/>
        </w:rPr>
      </w:pPr>
    </w:p>
    <w:p w:rsidR="001E2179" w:rsidRDefault="001E2179">
      <w:pPr>
        <w:rPr>
          <w:lang w:val="en-US"/>
        </w:rPr>
      </w:pPr>
    </w:p>
    <w:p w:rsidR="001E2179" w:rsidRDefault="001E2179"/>
    <w:p w:rsidR="001E2179" w:rsidRDefault="001E2179"/>
    <w:p w:rsidR="001E2179" w:rsidRDefault="001E2179"/>
    <w:p w:rsidR="001E2179" w:rsidRDefault="001E2179"/>
    <w:p w:rsidR="001E2179" w:rsidRDefault="001E2179"/>
    <w:p w:rsidR="001E2179" w:rsidRDefault="001E2179"/>
    <w:p w:rsidR="009E6EB1" w:rsidRDefault="009E6EB1"/>
    <w:p w:rsidR="00C37A2D" w:rsidRDefault="00C37A2D"/>
    <w:p w:rsidR="00C37A2D" w:rsidRDefault="00C37A2D"/>
    <w:p w:rsidR="00C37A2D" w:rsidRDefault="001E2179">
      <w:r>
        <w:rPr>
          <w:noProof/>
          <w:lang w:val="en-US" w:eastAsia="en-US" w:bidi="ar-SA"/>
        </w:rPr>
        <w:lastRenderedPageBreak/>
        <w:drawing>
          <wp:anchor distT="0" distB="0" distL="114300" distR="114300" simplePos="0" relativeHeight="251658752" behindDoc="0" locked="0" layoutInCell="1" allowOverlap="1" wp14:anchorId="29AF857F" wp14:editId="4DA12CC2">
            <wp:simplePos x="0" y="0"/>
            <wp:positionH relativeFrom="column">
              <wp:posOffset>3810</wp:posOffset>
            </wp:positionH>
            <wp:positionV relativeFrom="paragraph">
              <wp:posOffset>1905</wp:posOffset>
            </wp:positionV>
            <wp:extent cx="6120130" cy="39763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3-txm-import-workflow-en.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97637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C37A2D" w:rsidRDefault="00631C31" w:rsidP="00C37A2D">
      <w:pPr>
        <w:rPr>
          <w:lang w:val="en-US"/>
        </w:rPr>
      </w:pPr>
      <w:r>
        <w:rPr>
          <w:i/>
          <w:lang w:val="en-US"/>
        </w:rPr>
        <w:pict>
          <v:rect id="_x0000_i1026" style="width:0;height:1.5pt" o:hralign="center" o:hrstd="t" o:hr="t" fillcolor="#a0a0a0" stroked="f"/>
        </w:pict>
      </w:r>
    </w:p>
    <w:p w:rsidR="00C37A2D" w:rsidRDefault="00C37A2D">
      <w:r>
        <w:t xml:space="preserve">Figure 1. </w:t>
      </w:r>
      <w:r w:rsidR="001E2179">
        <w:t>TXM progressive import framework workflow.</w:t>
      </w:r>
      <w:r w:rsidDel="00C37A2D">
        <w:t xml:space="preserve"> </w:t>
      </w:r>
    </w:p>
    <w:p w:rsidR="00BF05F2" w:rsidRDefault="00BF05F2" w:rsidP="001169A2">
      <w:pPr>
        <w:rPr>
          <w:lang w:val="en-US"/>
        </w:rPr>
      </w:pPr>
    </w:p>
    <w:p w:rsidR="001E2179" w:rsidRDefault="00F275B9" w:rsidP="001169A2">
      <w:pPr>
        <w:ind w:firstLine="720"/>
        <w:rPr>
          <w:lang w:val="en-US"/>
        </w:rPr>
      </w:pPr>
      <w:r>
        <w:rPr>
          <w:lang w:val="en-US"/>
        </w:rPr>
        <w:t xml:space="preserve">In that framework, import modules can take a corpus at any level of encoding passing through the final TXM pivot </w:t>
      </w:r>
      <w:r w:rsidR="001E2179">
        <w:rPr>
          <w:lang w:val="en-US"/>
        </w:rPr>
        <w:t>‘</w:t>
      </w:r>
      <w:r>
        <w:rPr>
          <w:lang w:val="en-US"/>
        </w:rPr>
        <w:t>XML-TEI TXM</w:t>
      </w:r>
      <w:r w:rsidR="001E2179">
        <w:rPr>
          <w:lang w:val="en-US"/>
        </w:rPr>
        <w:t>’</w:t>
      </w:r>
      <w:r>
        <w:rPr>
          <w:lang w:val="en-US"/>
        </w:rPr>
        <w:t xml:space="preserve"> format before compilation by the software (search engine indexes, text edition, etc.).</w:t>
      </w:r>
    </w:p>
    <w:p w:rsidR="00BF05F2" w:rsidRDefault="00F275B9" w:rsidP="001169A2">
      <w:pPr>
        <w:ind w:firstLine="720"/>
        <w:rPr>
          <w:lang w:val="en-US"/>
        </w:rPr>
      </w:pPr>
      <w:r>
        <w:rPr>
          <w:lang w:val="en-US"/>
        </w:rPr>
        <w:t>The corpus model of TXM is composed of the following:</w:t>
      </w:r>
    </w:p>
    <w:p w:rsidR="003D1D73" w:rsidRDefault="003D1D73" w:rsidP="001169A2">
      <w:pPr>
        <w:ind w:firstLine="720"/>
        <w:rPr>
          <w:lang w:val="en-US"/>
        </w:rPr>
      </w:pPr>
    </w:p>
    <w:p w:rsidR="00BF05F2" w:rsidRDefault="003D1D73" w:rsidP="001169A2">
      <w:pPr>
        <w:ind w:left="720" w:hanging="360"/>
        <w:rPr>
          <w:lang w:val="en-US"/>
        </w:rPr>
      </w:pPr>
      <w:r>
        <w:rPr>
          <w:lang w:val="en-US"/>
        </w:rPr>
        <w:t>•</w:t>
      </w:r>
      <w:r>
        <w:rPr>
          <w:lang w:val="en-US"/>
        </w:rPr>
        <w:tab/>
      </w:r>
      <w:r w:rsidR="009E6EB1">
        <w:rPr>
          <w:lang w:val="en-US"/>
        </w:rPr>
        <w:t>E</w:t>
      </w:r>
      <w:r w:rsidR="00F275B9">
        <w:rPr>
          <w:lang w:val="en-US"/>
        </w:rPr>
        <w:t xml:space="preserve">ach corpus consists of a set of </w:t>
      </w:r>
      <w:r w:rsidR="00F275B9">
        <w:rPr>
          <w:b/>
          <w:bCs/>
          <w:lang w:val="en-US"/>
        </w:rPr>
        <w:t>texts</w:t>
      </w:r>
      <w:r w:rsidR="00F275B9">
        <w:rPr>
          <w:lang w:val="en-US"/>
        </w:rPr>
        <w:t xml:space="preserve"> with properties called </w:t>
      </w:r>
      <w:r w:rsidR="001E2179">
        <w:rPr>
          <w:lang w:val="en-US"/>
        </w:rPr>
        <w:t>‘</w:t>
      </w:r>
      <w:r w:rsidR="00F275B9">
        <w:rPr>
          <w:lang w:val="en-US"/>
        </w:rPr>
        <w:t>metadata</w:t>
      </w:r>
      <w:r w:rsidR="001E2179">
        <w:rPr>
          <w:lang w:val="en-US"/>
        </w:rPr>
        <w:t>’</w:t>
      </w:r>
      <w:r w:rsidR="00F275B9">
        <w:rPr>
          <w:lang w:val="en-US"/>
        </w:rPr>
        <w:t xml:space="preserve"> (author, title, date, genre .</w:t>
      </w:r>
      <w:r w:rsidR="009E6EB1">
        <w:rPr>
          <w:lang w:val="en-US"/>
        </w:rPr>
        <w:t xml:space="preserve"> </w:t>
      </w:r>
      <w:r w:rsidR="00F275B9">
        <w:rPr>
          <w:lang w:val="en-US"/>
        </w:rPr>
        <w:t>.</w:t>
      </w:r>
      <w:r w:rsidR="009E6EB1">
        <w:rPr>
          <w:lang w:val="en-US"/>
        </w:rPr>
        <w:t xml:space="preserve"> </w:t>
      </w:r>
      <w:r w:rsidR="00F275B9">
        <w:rPr>
          <w:lang w:val="en-US"/>
        </w:rPr>
        <w:t>.)</w:t>
      </w:r>
      <w:r w:rsidR="009E6EB1">
        <w:rPr>
          <w:lang w:val="en-US"/>
        </w:rPr>
        <w:t>.</w:t>
      </w:r>
    </w:p>
    <w:p w:rsidR="003D1D73" w:rsidRDefault="003D1D73" w:rsidP="001169A2">
      <w:pPr>
        <w:ind w:left="1058"/>
        <w:rPr>
          <w:lang w:val="en-US"/>
        </w:rPr>
      </w:pPr>
      <w:r>
        <w:rPr>
          <w:lang w:val="en-US"/>
        </w:rPr>
        <w:t>•</w:t>
      </w:r>
      <w:r>
        <w:rPr>
          <w:lang w:val="en-US"/>
        </w:rPr>
        <w:tab/>
      </w:r>
      <w:r w:rsidR="009E6EB1">
        <w:rPr>
          <w:lang w:val="en-US"/>
        </w:rPr>
        <w:t>E</w:t>
      </w:r>
      <w:r w:rsidR="00F275B9">
        <w:rPr>
          <w:lang w:val="en-US"/>
        </w:rPr>
        <w:t xml:space="preserve">ach text is composed of nested optional internal </w:t>
      </w:r>
      <w:r w:rsidR="00F275B9">
        <w:rPr>
          <w:b/>
          <w:bCs/>
          <w:lang w:val="en-US"/>
        </w:rPr>
        <w:t>structures</w:t>
      </w:r>
      <w:r w:rsidR="00F275B9">
        <w:rPr>
          <w:lang w:val="en-US"/>
        </w:rPr>
        <w:t xml:space="preserve"> that have properties</w:t>
      </w:r>
      <w:r w:rsidR="009E6EB1">
        <w:rPr>
          <w:lang w:val="en-US"/>
        </w:rPr>
        <w:t>.</w:t>
      </w:r>
    </w:p>
    <w:p w:rsidR="00BF05F2" w:rsidRDefault="003D1D73" w:rsidP="001169A2">
      <w:pPr>
        <w:tabs>
          <w:tab w:val="left" w:pos="1440"/>
          <w:tab w:val="left" w:pos="1800"/>
        </w:tabs>
        <w:ind w:left="1800" w:hanging="742"/>
        <w:rPr>
          <w:lang w:val="en-US"/>
        </w:rPr>
      </w:pPr>
      <w:r>
        <w:rPr>
          <w:lang w:val="en-US"/>
        </w:rPr>
        <w:tab/>
        <w:t>•</w:t>
      </w:r>
      <w:r>
        <w:rPr>
          <w:lang w:val="en-US"/>
        </w:rPr>
        <w:tab/>
      </w:r>
      <w:r w:rsidR="009E6EB1">
        <w:rPr>
          <w:lang w:val="en-US"/>
        </w:rPr>
        <w:t>E</w:t>
      </w:r>
      <w:r w:rsidR="00F275B9">
        <w:rPr>
          <w:lang w:val="en-US"/>
        </w:rPr>
        <w:t xml:space="preserve">ach text is composed of a sequence of </w:t>
      </w:r>
      <w:r w:rsidR="00F275B9">
        <w:rPr>
          <w:b/>
          <w:bCs/>
          <w:lang w:val="en-US"/>
        </w:rPr>
        <w:t>words</w:t>
      </w:r>
      <w:r w:rsidR="00F275B9">
        <w:rPr>
          <w:lang w:val="en-US"/>
        </w:rPr>
        <w:t xml:space="preserve"> that can have properties. Words can be embedded in any textual structure</w:t>
      </w:r>
      <w:r w:rsidR="009E6EB1">
        <w:rPr>
          <w:lang w:val="en-US"/>
        </w:rPr>
        <w:t>.</w:t>
      </w:r>
    </w:p>
    <w:p w:rsidR="003D1D73" w:rsidRDefault="003D1D73" w:rsidP="001169A2">
      <w:pPr>
        <w:tabs>
          <w:tab w:val="left" w:pos="1440"/>
          <w:tab w:val="left" w:pos="1800"/>
        </w:tabs>
        <w:ind w:left="1800" w:hanging="742"/>
        <w:rPr>
          <w:lang w:val="en-US"/>
        </w:rPr>
      </w:pPr>
    </w:p>
    <w:p w:rsidR="00BF05F2" w:rsidRDefault="00F275B9" w:rsidP="001169A2">
      <w:pPr>
        <w:ind w:firstLine="720"/>
        <w:jc w:val="both"/>
        <w:rPr>
          <w:lang w:val="en-US"/>
        </w:rPr>
      </w:pPr>
      <w:r>
        <w:rPr>
          <w:lang w:val="en-US"/>
        </w:rPr>
        <w:t xml:space="preserve">Each text has an HTML edition built during the import process. Some </w:t>
      </w:r>
      <w:r>
        <w:rPr>
          <w:b/>
          <w:bCs/>
          <w:lang w:val="en-US"/>
        </w:rPr>
        <w:t>textual planes</w:t>
      </w:r>
      <w:r>
        <w:rPr>
          <w:lang w:val="en-US"/>
        </w:rPr>
        <w:t xml:space="preserve"> can be built on demand</w:t>
      </w:r>
      <w:r w:rsidR="009E6EB1">
        <w:rPr>
          <w:lang w:val="en-US"/>
        </w:rPr>
        <w:t>, such as</w:t>
      </w:r>
      <w:r>
        <w:rPr>
          <w:lang w:val="en-US"/>
        </w:rPr>
        <w:t xml:space="preserve"> separating comments or notes from content body, etc.</w:t>
      </w:r>
    </w:p>
    <w:p w:rsidR="00BF05F2" w:rsidRDefault="00F275B9" w:rsidP="001169A2">
      <w:pPr>
        <w:ind w:firstLine="720"/>
      </w:pPr>
      <w:r>
        <w:t>For each import encoding level</w:t>
      </w:r>
      <w:r w:rsidR="009E6EB1">
        <w:t>,</w:t>
      </w:r>
      <w:r>
        <w:t xml:space="preserve"> some corpus model elements can be built, or not:</w:t>
      </w:r>
    </w:p>
    <w:p w:rsidR="003D1D73" w:rsidRDefault="003D1D73" w:rsidP="001169A2">
      <w:pPr>
        <w:ind w:firstLine="720"/>
      </w:pPr>
    </w:p>
    <w:p w:rsidR="003D1D73" w:rsidRDefault="003D1D73" w:rsidP="001169A2">
      <w:pPr>
        <w:ind w:firstLine="72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2409"/>
        <w:gridCol w:w="2410"/>
        <w:gridCol w:w="2410"/>
      </w:tblGrid>
      <w:tr w:rsidR="00BF05F2">
        <w:tc>
          <w:tcPr>
            <w:tcW w:w="2409" w:type="dxa"/>
            <w:shd w:val="clear" w:color="auto" w:fill="auto"/>
          </w:tcPr>
          <w:p w:rsidR="00BF05F2" w:rsidRDefault="00BF05F2">
            <w:pPr>
              <w:pStyle w:val="Contenudetableau"/>
              <w:snapToGrid w:val="0"/>
            </w:pPr>
          </w:p>
        </w:tc>
        <w:tc>
          <w:tcPr>
            <w:tcW w:w="2409" w:type="dxa"/>
            <w:shd w:val="clear" w:color="auto" w:fill="auto"/>
          </w:tcPr>
          <w:p w:rsidR="00BF05F2" w:rsidRDefault="00F275B9">
            <w:pPr>
              <w:pStyle w:val="Contenudetableau"/>
              <w:rPr>
                <w:b/>
                <w:bCs/>
                <w:lang w:val="en-US"/>
              </w:rPr>
            </w:pPr>
            <w:r>
              <w:rPr>
                <w:b/>
                <w:bCs/>
                <w:lang w:val="en-US"/>
              </w:rPr>
              <w:t>TXT</w:t>
            </w:r>
          </w:p>
        </w:tc>
        <w:tc>
          <w:tcPr>
            <w:tcW w:w="2410" w:type="dxa"/>
            <w:shd w:val="clear" w:color="auto" w:fill="auto"/>
          </w:tcPr>
          <w:p w:rsidR="00BF05F2" w:rsidRDefault="00F275B9">
            <w:pPr>
              <w:pStyle w:val="Contenudetableau"/>
              <w:rPr>
                <w:b/>
                <w:bCs/>
                <w:lang w:val="en-US"/>
              </w:rPr>
            </w:pPr>
            <w:r>
              <w:rPr>
                <w:b/>
                <w:bCs/>
                <w:lang w:val="en-US"/>
              </w:rPr>
              <w:t>XML</w:t>
            </w:r>
          </w:p>
        </w:tc>
        <w:tc>
          <w:tcPr>
            <w:tcW w:w="2410" w:type="dxa"/>
            <w:shd w:val="clear" w:color="auto" w:fill="auto"/>
          </w:tcPr>
          <w:p w:rsidR="00BF05F2" w:rsidRDefault="00F275B9">
            <w:pPr>
              <w:pStyle w:val="Contenudetableau"/>
              <w:rPr>
                <w:b/>
                <w:bCs/>
                <w:lang w:val="en-US"/>
              </w:rPr>
            </w:pPr>
            <w:r>
              <w:rPr>
                <w:b/>
                <w:bCs/>
                <w:lang w:val="en-US"/>
              </w:rPr>
              <w:t>TEI</w:t>
            </w:r>
          </w:p>
        </w:tc>
      </w:tr>
      <w:tr w:rsidR="00BF05F2">
        <w:tc>
          <w:tcPr>
            <w:tcW w:w="2409" w:type="dxa"/>
            <w:shd w:val="clear" w:color="auto" w:fill="auto"/>
          </w:tcPr>
          <w:p w:rsidR="00BF05F2" w:rsidRDefault="00F275B9">
            <w:pPr>
              <w:pStyle w:val="Contenudetableau"/>
              <w:rPr>
                <w:lang w:val="en-US"/>
              </w:rPr>
            </w:pPr>
            <w:r>
              <w:rPr>
                <w:b/>
                <w:bCs/>
                <w:lang w:val="en-US"/>
              </w:rPr>
              <w:t>Text units</w:t>
            </w:r>
          </w:p>
        </w:tc>
        <w:tc>
          <w:tcPr>
            <w:tcW w:w="2409" w:type="dxa"/>
            <w:shd w:val="clear" w:color="auto" w:fill="auto"/>
          </w:tcPr>
          <w:p w:rsidR="00BF05F2" w:rsidRDefault="00F275B9">
            <w:pPr>
              <w:pStyle w:val="Contenudetableau"/>
              <w:rPr>
                <w:lang w:val="en-US"/>
              </w:rPr>
            </w:pPr>
            <w:r>
              <w:rPr>
                <w:lang w:val="en-US"/>
              </w:rPr>
              <w:t>files</w:t>
            </w:r>
          </w:p>
        </w:tc>
        <w:tc>
          <w:tcPr>
            <w:tcW w:w="2410" w:type="dxa"/>
            <w:shd w:val="clear" w:color="auto" w:fill="auto"/>
          </w:tcPr>
          <w:p w:rsidR="00BF05F2" w:rsidRDefault="00F275B9">
            <w:pPr>
              <w:pStyle w:val="Contenudetableau"/>
              <w:rPr>
                <w:lang w:val="en-US"/>
              </w:rPr>
            </w:pPr>
            <w:r>
              <w:rPr>
                <w:lang w:val="en-US"/>
              </w:rPr>
              <w:t>files</w:t>
            </w:r>
          </w:p>
        </w:tc>
        <w:tc>
          <w:tcPr>
            <w:tcW w:w="2410" w:type="dxa"/>
            <w:shd w:val="clear" w:color="auto" w:fill="auto"/>
          </w:tcPr>
          <w:p w:rsidR="00BF05F2" w:rsidRDefault="00F275B9">
            <w:pPr>
              <w:pStyle w:val="Contenudetableau"/>
              <w:rPr>
                <w:b/>
                <w:bCs/>
                <w:lang w:val="en-US"/>
              </w:rPr>
            </w:pPr>
            <w:r>
              <w:rPr>
                <w:lang w:val="en-US"/>
              </w:rPr>
              <w:t>files</w:t>
            </w:r>
          </w:p>
        </w:tc>
      </w:tr>
      <w:tr w:rsidR="00BF05F2">
        <w:tc>
          <w:tcPr>
            <w:tcW w:w="2409" w:type="dxa"/>
            <w:shd w:val="clear" w:color="auto" w:fill="auto"/>
          </w:tcPr>
          <w:p w:rsidR="00BF05F2" w:rsidRDefault="00F275B9">
            <w:pPr>
              <w:pStyle w:val="Contenudetableau"/>
              <w:rPr>
                <w:lang w:val="en-US"/>
              </w:rPr>
            </w:pPr>
            <w:r>
              <w:rPr>
                <w:b/>
                <w:bCs/>
                <w:lang w:val="en-US"/>
              </w:rPr>
              <w:t>Metadata</w:t>
            </w:r>
          </w:p>
        </w:tc>
        <w:tc>
          <w:tcPr>
            <w:tcW w:w="2409" w:type="dxa"/>
            <w:shd w:val="clear" w:color="auto" w:fill="auto"/>
          </w:tcPr>
          <w:p w:rsidR="00BF05F2" w:rsidRDefault="00F275B9">
            <w:pPr>
              <w:pStyle w:val="Contenudetableau"/>
              <w:rPr>
                <w:lang w:val="en-US"/>
              </w:rPr>
            </w:pPr>
            <w:r>
              <w:rPr>
                <w:lang w:val="en-US"/>
              </w:rPr>
              <w:t>CSV</w:t>
            </w:r>
          </w:p>
        </w:tc>
        <w:tc>
          <w:tcPr>
            <w:tcW w:w="2410" w:type="dxa"/>
            <w:shd w:val="clear" w:color="auto" w:fill="auto"/>
          </w:tcPr>
          <w:p w:rsidR="00BF05F2" w:rsidRDefault="00F275B9">
            <w:pPr>
              <w:pStyle w:val="Contenudetableau"/>
              <w:rPr>
                <w:lang w:val="en-US"/>
              </w:rPr>
            </w:pPr>
            <w:r>
              <w:rPr>
                <w:lang w:val="en-US"/>
              </w:rPr>
              <w:t>CSV</w:t>
            </w:r>
          </w:p>
        </w:tc>
        <w:tc>
          <w:tcPr>
            <w:tcW w:w="2410" w:type="dxa"/>
            <w:shd w:val="clear" w:color="auto" w:fill="auto"/>
          </w:tcPr>
          <w:p w:rsidR="00BF05F2" w:rsidRDefault="00F275B9">
            <w:pPr>
              <w:pStyle w:val="Contenudetableau"/>
              <w:rPr>
                <w:b/>
                <w:bCs/>
                <w:lang w:val="en-US"/>
              </w:rPr>
            </w:pPr>
            <w:r>
              <w:rPr>
                <w:lang w:val="en-US"/>
              </w:rPr>
              <w:t>teiHeader</w:t>
            </w:r>
          </w:p>
        </w:tc>
      </w:tr>
      <w:tr w:rsidR="00BF05F2">
        <w:tc>
          <w:tcPr>
            <w:tcW w:w="2409" w:type="dxa"/>
            <w:shd w:val="clear" w:color="auto" w:fill="auto"/>
          </w:tcPr>
          <w:p w:rsidR="00BF05F2" w:rsidRDefault="00F275B9">
            <w:pPr>
              <w:pStyle w:val="Contenudetableau"/>
              <w:rPr>
                <w:lang w:val="en-US"/>
              </w:rPr>
            </w:pPr>
            <w:r>
              <w:rPr>
                <w:b/>
                <w:bCs/>
                <w:lang w:val="en-US"/>
              </w:rPr>
              <w:t>Structures</w:t>
            </w:r>
          </w:p>
        </w:tc>
        <w:tc>
          <w:tcPr>
            <w:tcW w:w="2409" w:type="dxa"/>
            <w:shd w:val="clear" w:color="auto" w:fill="auto"/>
          </w:tcPr>
          <w:p w:rsidR="00BF05F2" w:rsidRDefault="00F275B9">
            <w:pPr>
              <w:pStyle w:val="Contenudetableau"/>
              <w:rPr>
                <w:lang w:val="en-US"/>
              </w:rPr>
            </w:pPr>
            <w:r>
              <w:rPr>
                <w:lang w:val="en-US"/>
              </w:rPr>
              <w:t>n/a</w:t>
            </w:r>
          </w:p>
        </w:tc>
        <w:tc>
          <w:tcPr>
            <w:tcW w:w="2410" w:type="dxa"/>
            <w:shd w:val="clear" w:color="auto" w:fill="auto"/>
          </w:tcPr>
          <w:p w:rsidR="00BF05F2" w:rsidRDefault="00F275B9">
            <w:pPr>
              <w:pStyle w:val="Contenudetableau"/>
              <w:rPr>
                <w:lang w:val="en-US"/>
              </w:rPr>
            </w:pPr>
            <w:r>
              <w:rPr>
                <w:lang w:val="en-US"/>
              </w:rPr>
              <w:t>all</w:t>
            </w:r>
          </w:p>
        </w:tc>
        <w:tc>
          <w:tcPr>
            <w:tcW w:w="2410" w:type="dxa"/>
            <w:shd w:val="clear" w:color="auto" w:fill="auto"/>
          </w:tcPr>
          <w:p w:rsidR="00BF05F2" w:rsidRDefault="00F275B9">
            <w:pPr>
              <w:pStyle w:val="Contenudetableau"/>
              <w:rPr>
                <w:b/>
                <w:bCs/>
                <w:lang w:val="en-US"/>
              </w:rPr>
            </w:pPr>
            <w:r>
              <w:rPr>
                <w:lang w:val="en-US"/>
              </w:rPr>
              <w:t>TEI specific</w:t>
            </w:r>
          </w:p>
        </w:tc>
      </w:tr>
      <w:tr w:rsidR="00BF05F2">
        <w:tc>
          <w:tcPr>
            <w:tcW w:w="2409" w:type="dxa"/>
            <w:shd w:val="clear" w:color="auto" w:fill="auto"/>
          </w:tcPr>
          <w:p w:rsidR="00BF05F2" w:rsidRDefault="00F275B9">
            <w:pPr>
              <w:pStyle w:val="Contenudetableau"/>
              <w:rPr>
                <w:lang w:val="en-US"/>
              </w:rPr>
            </w:pPr>
            <w:r>
              <w:rPr>
                <w:b/>
                <w:bCs/>
                <w:lang w:val="en-US"/>
              </w:rPr>
              <w:t>Words</w:t>
            </w:r>
          </w:p>
        </w:tc>
        <w:tc>
          <w:tcPr>
            <w:tcW w:w="2409" w:type="dxa"/>
            <w:shd w:val="clear" w:color="auto" w:fill="auto"/>
          </w:tcPr>
          <w:p w:rsidR="00BF05F2" w:rsidRDefault="00F275B9">
            <w:pPr>
              <w:pStyle w:val="Contenudetableau"/>
              <w:rPr>
                <w:lang w:val="en-US"/>
              </w:rPr>
            </w:pPr>
            <w:r>
              <w:rPr>
                <w:lang w:val="en-US"/>
              </w:rPr>
              <w:t>raw</w:t>
            </w:r>
          </w:p>
        </w:tc>
        <w:tc>
          <w:tcPr>
            <w:tcW w:w="2410" w:type="dxa"/>
            <w:shd w:val="clear" w:color="auto" w:fill="auto"/>
          </w:tcPr>
          <w:p w:rsidR="00BF05F2" w:rsidRDefault="00F275B9">
            <w:pPr>
              <w:pStyle w:val="Contenudetableau"/>
              <w:rPr>
                <w:lang w:val="en-US"/>
              </w:rPr>
            </w:pPr>
            <w:r>
              <w:rPr>
                <w:lang w:val="en-US"/>
              </w:rPr>
              <w:t>&lt;w&gt;?</w:t>
            </w:r>
          </w:p>
        </w:tc>
        <w:tc>
          <w:tcPr>
            <w:tcW w:w="2410" w:type="dxa"/>
            <w:shd w:val="clear" w:color="auto" w:fill="auto"/>
          </w:tcPr>
          <w:p w:rsidR="00BF05F2" w:rsidRDefault="00F275B9">
            <w:pPr>
              <w:pStyle w:val="Contenudetableau"/>
              <w:rPr>
                <w:b/>
                <w:bCs/>
                <w:lang w:val="en-US"/>
              </w:rPr>
            </w:pPr>
            <w:r>
              <w:rPr>
                <w:lang w:val="en-US"/>
              </w:rPr>
              <w:t>&lt;w&gt;?</w:t>
            </w:r>
          </w:p>
        </w:tc>
      </w:tr>
      <w:tr w:rsidR="00BF05F2">
        <w:tc>
          <w:tcPr>
            <w:tcW w:w="2409" w:type="dxa"/>
            <w:shd w:val="clear" w:color="auto" w:fill="auto"/>
          </w:tcPr>
          <w:p w:rsidR="00BF05F2" w:rsidRDefault="00F275B9">
            <w:pPr>
              <w:pStyle w:val="Contenudetableau"/>
              <w:rPr>
                <w:lang w:val="en-US"/>
              </w:rPr>
            </w:pPr>
            <w:r>
              <w:rPr>
                <w:b/>
                <w:bCs/>
                <w:lang w:val="en-US"/>
              </w:rPr>
              <w:t>Textual planes</w:t>
            </w:r>
          </w:p>
        </w:tc>
        <w:tc>
          <w:tcPr>
            <w:tcW w:w="2409" w:type="dxa"/>
            <w:shd w:val="clear" w:color="auto" w:fill="auto"/>
          </w:tcPr>
          <w:p w:rsidR="00BF05F2" w:rsidRDefault="00F275B9">
            <w:pPr>
              <w:pStyle w:val="Contenudetableau"/>
              <w:rPr>
                <w:lang w:val="en-US"/>
              </w:rPr>
            </w:pPr>
            <w:r>
              <w:rPr>
                <w:lang w:val="en-US"/>
              </w:rPr>
              <w:t>n/a</w:t>
            </w:r>
          </w:p>
        </w:tc>
        <w:tc>
          <w:tcPr>
            <w:tcW w:w="2410" w:type="dxa"/>
            <w:shd w:val="clear" w:color="auto" w:fill="auto"/>
          </w:tcPr>
          <w:p w:rsidR="00BF05F2" w:rsidRDefault="00F275B9">
            <w:pPr>
              <w:pStyle w:val="Contenudetableau"/>
              <w:rPr>
                <w:lang w:val="en-US"/>
              </w:rPr>
            </w:pPr>
            <w:r>
              <w:rPr>
                <w:lang w:val="en-US"/>
              </w:rPr>
              <w:t>front XSL</w:t>
            </w:r>
          </w:p>
        </w:tc>
        <w:tc>
          <w:tcPr>
            <w:tcW w:w="2410" w:type="dxa"/>
            <w:shd w:val="clear" w:color="auto" w:fill="auto"/>
          </w:tcPr>
          <w:p w:rsidR="00BF05F2" w:rsidRDefault="00F275B9">
            <w:pPr>
              <w:pStyle w:val="Contenudetableau"/>
            </w:pPr>
            <w:r>
              <w:rPr>
                <w:lang w:val="en-US"/>
              </w:rPr>
              <w:t>TEI specific</w:t>
            </w:r>
          </w:p>
        </w:tc>
      </w:tr>
    </w:tbl>
    <w:p w:rsidR="00BF05F2" w:rsidRDefault="00BF05F2"/>
    <w:p w:rsidR="003D1D73" w:rsidRDefault="003D1D73" w:rsidP="001169A2">
      <w:pPr>
        <w:ind w:firstLine="720"/>
        <w:rPr>
          <w:lang w:val="en-US"/>
        </w:rPr>
      </w:pPr>
    </w:p>
    <w:p w:rsidR="003D1D73" w:rsidRDefault="003D1D73" w:rsidP="001169A2">
      <w:pPr>
        <w:ind w:firstLine="720"/>
        <w:rPr>
          <w:lang w:val="en-US"/>
        </w:rPr>
      </w:pPr>
    </w:p>
    <w:p w:rsidR="00BF05F2" w:rsidRDefault="00F275B9" w:rsidP="001169A2">
      <w:pPr>
        <w:ind w:firstLine="720"/>
        <w:rPr>
          <w:lang w:val="en-US"/>
        </w:rPr>
      </w:pPr>
      <w:r>
        <w:rPr>
          <w:lang w:val="en-US"/>
        </w:rPr>
        <w:t xml:space="preserve">For each import level, a file corresponds to a text unit. TXT level cannot provide either internal structures encoding for texts or planes and tokenizes words from their </w:t>
      </w:r>
      <w:r w:rsidR="001E2179">
        <w:rPr>
          <w:lang w:val="en-US"/>
        </w:rPr>
        <w:t>‘</w:t>
      </w:r>
      <w:r>
        <w:rPr>
          <w:lang w:val="en-US"/>
        </w:rPr>
        <w:t>raw</w:t>
      </w:r>
      <w:r w:rsidR="001E2179">
        <w:rPr>
          <w:lang w:val="en-US"/>
        </w:rPr>
        <w:t>’</w:t>
      </w:r>
      <w:r>
        <w:rPr>
          <w:lang w:val="en-US"/>
        </w:rPr>
        <w:t xml:space="preserve"> character constituents. XML level provides TXT level processing and can optionally encode some or all words with a &lt;w&gt; tag</w:t>
      </w:r>
      <w:r w:rsidR="009E6EB1">
        <w:rPr>
          <w:lang w:val="en-US"/>
        </w:rPr>
        <w:t>;</w:t>
      </w:r>
      <w:r>
        <w:rPr>
          <w:lang w:val="en-US"/>
        </w:rPr>
        <w:t xml:space="preserve"> all other tags are interpreted as text structures</w:t>
      </w:r>
      <w:r w:rsidR="009E6EB1">
        <w:rPr>
          <w:lang w:val="en-US"/>
        </w:rPr>
        <w:t>,</w:t>
      </w:r>
      <w:r>
        <w:rPr>
          <w:lang w:val="en-US"/>
        </w:rPr>
        <w:t xml:space="preserve"> and a front XSL can filter out some elements on the fly. TEI level provides XML level processing, text metadata are taken from the TEI header</w:t>
      </w:r>
      <w:r w:rsidR="009E6EB1">
        <w:rPr>
          <w:lang w:val="en-US"/>
        </w:rPr>
        <w:t>,</w:t>
      </w:r>
      <w:r>
        <w:rPr>
          <w:lang w:val="en-US"/>
        </w:rPr>
        <w:t xml:space="preserve"> and every tag has specific semantics related to structures or planes.</w:t>
      </w:r>
    </w:p>
    <w:p w:rsidR="00BF05F2" w:rsidRDefault="00F275B9" w:rsidP="001169A2">
      <w:pPr>
        <w:ind w:firstLine="720"/>
        <w:rPr>
          <w:lang w:val="en-US"/>
        </w:rPr>
      </w:pPr>
      <w:r>
        <w:rPr>
          <w:lang w:val="en-US"/>
        </w:rPr>
        <w:t>Within such an import framework, the scholar can adapt the encoding effort to the level best suited for the elements she wants to be able to manipulate in the analysis software. A typical progression is to start with raw text (TXT) and progressively encode more information (sometimes based on findings made with the analysis tools). When entering the XML level, the first elements encoded are very often some specific structures (e.g.</w:t>
      </w:r>
      <w:r w:rsidR="009E6EB1">
        <w:rPr>
          <w:lang w:val="en-US"/>
        </w:rPr>
        <w:t>,</w:t>
      </w:r>
      <w:r>
        <w:rPr>
          <w:lang w:val="en-US"/>
        </w:rPr>
        <w:t xml:space="preserve"> sentence, paragraph</w:t>
      </w:r>
      <w:r w:rsidR="009E6EB1">
        <w:rPr>
          <w:lang w:val="en-US"/>
        </w:rPr>
        <w:t>,</w:t>
      </w:r>
      <w:r>
        <w:rPr>
          <w:lang w:val="en-US"/>
        </w:rPr>
        <w:t xml:space="preserve"> or section) or words (e.g.</w:t>
      </w:r>
      <w:r w:rsidR="009E6EB1">
        <w:rPr>
          <w:lang w:val="en-US"/>
        </w:rPr>
        <w:t>,</w:t>
      </w:r>
      <w:r>
        <w:rPr>
          <w:lang w:val="en-US"/>
        </w:rPr>
        <w:t xml:space="preserve"> compounds or entities) and page breaks to control text edition pagination with respect to the sources and concordance references (e.g.</w:t>
      </w:r>
      <w:r w:rsidR="009D040E">
        <w:rPr>
          <w:lang w:val="en-US"/>
        </w:rPr>
        <w:t>,</w:t>
      </w:r>
      <w:r>
        <w:rPr>
          <w:lang w:val="en-US"/>
        </w:rPr>
        <w:t xml:space="preserve"> page number).</w:t>
      </w:r>
    </w:p>
    <w:p w:rsidR="00BF05F2" w:rsidRDefault="00BF05F2">
      <w:pPr>
        <w:rPr>
          <w:lang w:val="en-US"/>
        </w:rPr>
      </w:pPr>
    </w:p>
    <w:p w:rsidR="00BF05F2" w:rsidRDefault="00F275B9">
      <w:pPr>
        <w:rPr>
          <w:lang w:val="en-US"/>
        </w:rPr>
      </w:pPr>
      <w:r>
        <w:rPr>
          <w:b/>
          <w:bCs/>
          <w:lang w:val="en-US"/>
        </w:rPr>
        <w:t xml:space="preserve">NLP </w:t>
      </w:r>
      <w:r w:rsidR="003D1D73">
        <w:rPr>
          <w:b/>
          <w:bCs/>
          <w:lang w:val="en-US"/>
        </w:rPr>
        <w:t>A</w:t>
      </w:r>
      <w:r>
        <w:rPr>
          <w:b/>
          <w:bCs/>
          <w:lang w:val="en-US"/>
        </w:rPr>
        <w:t xml:space="preserve">nnotation at </w:t>
      </w:r>
      <w:r w:rsidR="003D1D73">
        <w:rPr>
          <w:b/>
          <w:bCs/>
          <w:lang w:val="en-US"/>
        </w:rPr>
        <w:t>W</w:t>
      </w:r>
      <w:r>
        <w:rPr>
          <w:b/>
          <w:bCs/>
          <w:lang w:val="en-US"/>
        </w:rPr>
        <w:t xml:space="preserve">ord </w:t>
      </w:r>
      <w:r w:rsidR="003D1D73">
        <w:rPr>
          <w:b/>
          <w:bCs/>
          <w:lang w:val="en-US"/>
        </w:rPr>
        <w:t>L</w:t>
      </w:r>
      <w:r>
        <w:rPr>
          <w:b/>
          <w:bCs/>
          <w:lang w:val="en-US"/>
        </w:rPr>
        <w:t>evel</w:t>
      </w:r>
    </w:p>
    <w:p w:rsidR="00BF05F2" w:rsidRDefault="00F275B9" w:rsidP="001169A2">
      <w:pPr>
        <w:rPr>
          <w:lang w:val="en-US"/>
        </w:rPr>
      </w:pPr>
      <w:r>
        <w:rPr>
          <w:lang w:val="en-US"/>
        </w:rPr>
        <w:t>As any level of encoding supposes the processing of words (implicitly or explicitly encoded), TXM integrates the possibility to call external NLP tools working on words to automatically enrich the sources through a delegation model. In that model, tools and their parameters are first declared once. Then, for each import module, they can be automatically called as many times as needed on a representation of the texts compatible with their processing (texts are converted to the format needed by each tool)</w:t>
      </w:r>
      <w:r w:rsidR="009D040E">
        <w:rPr>
          <w:lang w:val="en-US"/>
        </w:rPr>
        <w:t>,</w:t>
      </w:r>
      <w:r>
        <w:rPr>
          <w:lang w:val="en-US"/>
        </w:rPr>
        <w:t xml:space="preserve"> and the result of their processing is reinjected back into the sources. As an example, TXM automatically annotates words with their lemma and morphosyntactic category with the TreeTagger software. In that model, the quality of the automatic encoding is delegated to external tools.</w:t>
      </w:r>
    </w:p>
    <w:p w:rsidR="00BF05F2" w:rsidRDefault="00F275B9" w:rsidP="001169A2">
      <w:pPr>
        <w:ind w:firstLine="720"/>
        <w:rPr>
          <w:lang w:val="en-US"/>
        </w:rPr>
      </w:pPr>
      <w:r>
        <w:rPr>
          <w:lang w:val="en-US"/>
        </w:rPr>
        <w:t>In the case of XML type sources, if a word is already encoded with some properties (typically by using a &lt;w&gt; element), the NLP annotation is just added to the initial encoding.</w:t>
      </w:r>
    </w:p>
    <w:p w:rsidR="00BF05F2" w:rsidRDefault="00F275B9" w:rsidP="001169A2">
      <w:pPr>
        <w:ind w:firstLine="720"/>
        <w:rPr>
          <w:lang w:val="en-US"/>
        </w:rPr>
      </w:pPr>
      <w:r>
        <w:rPr>
          <w:lang w:val="en-US"/>
        </w:rPr>
        <w:t>Adding systematic word level annotation can be difficult to keep compatible with original XML encoding. This is why TXM provides stand-off and inline ways to store word annotations into a TXM</w:t>
      </w:r>
      <w:r w:rsidR="009D040E">
        <w:rPr>
          <w:lang w:val="en-US"/>
        </w:rPr>
        <w:t>-</w:t>
      </w:r>
      <w:r>
        <w:rPr>
          <w:lang w:val="en-US"/>
        </w:rPr>
        <w:t xml:space="preserve">specific TEI extension scheme called </w:t>
      </w:r>
      <w:r w:rsidR="001E2179">
        <w:rPr>
          <w:lang w:val="en-US"/>
        </w:rPr>
        <w:t>‘</w:t>
      </w:r>
      <w:r>
        <w:rPr>
          <w:lang w:val="en-US"/>
        </w:rPr>
        <w:t>XML-TEI TXM</w:t>
      </w:r>
      <w:r w:rsidR="001E2179">
        <w:rPr>
          <w:lang w:val="en-US"/>
        </w:rPr>
        <w:t>’</w:t>
      </w:r>
      <w:r>
        <w:rPr>
          <w:lang w:val="en-US"/>
        </w:rPr>
        <w:t>. That representation can be exported to other tools or re-imported in any TXM.</w:t>
      </w:r>
    </w:p>
    <w:p w:rsidR="00BF05F2" w:rsidRDefault="00BF05F2">
      <w:pPr>
        <w:rPr>
          <w:lang w:val="en-US"/>
        </w:rPr>
      </w:pPr>
    </w:p>
    <w:p w:rsidR="00BF05F2" w:rsidRDefault="00F275B9">
      <w:pPr>
        <w:rPr>
          <w:lang w:val="en-US"/>
        </w:rPr>
      </w:pPr>
      <w:r>
        <w:rPr>
          <w:b/>
          <w:bCs/>
          <w:lang w:val="en-US"/>
        </w:rPr>
        <w:t>Conclusion</w:t>
      </w:r>
    </w:p>
    <w:p w:rsidR="00BF05F2" w:rsidRDefault="00F275B9" w:rsidP="001169A2">
      <w:pPr>
        <w:rPr>
          <w:lang w:val="en-US"/>
        </w:rPr>
      </w:pPr>
      <w:r>
        <w:rPr>
          <w:lang w:val="en-US"/>
        </w:rPr>
        <w:t>We presented the TXM progressive import framework allowing the scholar to choose the right level</w:t>
      </w:r>
      <w:r w:rsidR="003D1D73">
        <w:rPr>
          <w:lang w:val="en-US"/>
        </w:rPr>
        <w:t>—</w:t>
      </w:r>
      <w:r>
        <w:rPr>
          <w:lang w:val="en-US"/>
        </w:rPr>
        <w:t>and effort</w:t>
      </w:r>
      <w:r w:rsidR="003D1D73">
        <w:rPr>
          <w:lang w:val="en-US"/>
        </w:rPr>
        <w:t>—</w:t>
      </w:r>
      <w:r>
        <w:rPr>
          <w:lang w:val="en-US"/>
        </w:rPr>
        <w:t>of encoding needed for the analysis of its sources. TEI level encoding is not mandatory to use the tool, simple raw text can be analyzed, and XML encoded sources provide a lot of useful services for analysis, but TEI provides the best reference target level of encoding as a language to establish a contract between philological and analytic work.</w:t>
      </w:r>
    </w:p>
    <w:p w:rsidR="00BF05F2" w:rsidRDefault="00BF05F2">
      <w:pPr>
        <w:rPr>
          <w:lang w:val="en-US"/>
        </w:rPr>
      </w:pPr>
    </w:p>
    <w:p w:rsidR="00440553" w:rsidRDefault="00440553" w:rsidP="001169A2">
      <w:pPr>
        <w:rPr>
          <w:b/>
          <w:lang w:val="en-US"/>
        </w:rPr>
      </w:pPr>
      <w:r>
        <w:rPr>
          <w:b/>
          <w:lang w:val="en-US"/>
        </w:rPr>
        <w:t>Note</w:t>
      </w:r>
    </w:p>
    <w:p w:rsidR="00440553" w:rsidRDefault="00440553" w:rsidP="001169A2">
      <w:pPr>
        <w:rPr>
          <w:lang w:val="en-US"/>
        </w:rPr>
      </w:pPr>
      <w:r>
        <w:rPr>
          <w:lang w:val="en-US"/>
        </w:rPr>
        <w:t xml:space="preserve">1. </w:t>
      </w:r>
      <w:r>
        <w:rPr>
          <w:lang w:val="en-US"/>
        </w:rPr>
        <w:t xml:space="preserve">The sample BROWN corpus can be downloaded from the TXM software website, </w:t>
      </w:r>
      <w:r w:rsidRPr="001169A2">
        <w:t>http://sourceforge.net/projects/txm/files/corpora/brown</w:t>
      </w:r>
      <w:r>
        <w:rPr>
          <w:lang w:val="en-US"/>
        </w:rPr>
        <w:t>.</w:t>
      </w:r>
    </w:p>
    <w:p w:rsidR="00440553" w:rsidRDefault="00440553" w:rsidP="001169A2">
      <w:pPr>
        <w:rPr>
          <w:b/>
          <w:lang w:val="en-US"/>
        </w:rPr>
      </w:pPr>
    </w:p>
    <w:p w:rsidR="00BF05F2" w:rsidRDefault="00F275B9" w:rsidP="001169A2">
      <w:pPr>
        <w:rPr>
          <w:lang w:val="en-US"/>
        </w:rPr>
      </w:pPr>
      <w:r w:rsidRPr="001169A2">
        <w:rPr>
          <w:b/>
          <w:lang w:val="en-US"/>
        </w:rPr>
        <w:t>References</w:t>
      </w:r>
    </w:p>
    <w:p w:rsidR="003D1D73" w:rsidRDefault="009D040E" w:rsidP="001169A2">
      <w:pPr>
        <w:rPr>
          <w:lang w:val="en-US"/>
        </w:rPr>
      </w:pPr>
      <w:r w:rsidRPr="001169A2">
        <w:rPr>
          <w:b/>
          <w:lang w:val="en-US"/>
        </w:rPr>
        <w:t>Francis, W. N. and Kucera, H</w:t>
      </w:r>
      <w:r w:rsidR="003D1D73" w:rsidRPr="001169A2">
        <w:rPr>
          <w:b/>
          <w:lang w:val="en-US"/>
        </w:rPr>
        <w:t>.</w:t>
      </w:r>
      <w:r w:rsidR="003D1D73">
        <w:rPr>
          <w:lang w:val="en-US"/>
        </w:rPr>
        <w:t xml:space="preserve"> (1964). A Standard Corpus of Present-Day Edited American English, for </w:t>
      </w:r>
      <w:r>
        <w:rPr>
          <w:lang w:val="en-US"/>
        </w:rPr>
        <w:t>U</w:t>
      </w:r>
      <w:r w:rsidR="003D1D73">
        <w:rPr>
          <w:lang w:val="en-US"/>
        </w:rPr>
        <w:t>se with Digital Computers.</w:t>
      </w:r>
      <w:r>
        <w:rPr>
          <w:lang w:val="en-US"/>
        </w:rPr>
        <w:t xml:space="preserve"> </w:t>
      </w:r>
      <w:r w:rsidR="003D1D73">
        <w:rPr>
          <w:lang w:val="en-US"/>
        </w:rPr>
        <w:t>Department of Linguistics, Brown University</w:t>
      </w:r>
      <w:r>
        <w:rPr>
          <w:lang w:val="en-US"/>
        </w:rPr>
        <w:t>,</w:t>
      </w:r>
      <w:r w:rsidR="003D1D73">
        <w:rPr>
          <w:lang w:val="en-US"/>
        </w:rPr>
        <w:t xml:space="preserve"> Providence, R</w:t>
      </w:r>
      <w:r>
        <w:rPr>
          <w:lang w:val="en-US"/>
        </w:rPr>
        <w:t>I</w:t>
      </w:r>
      <w:r w:rsidR="003D1D73">
        <w:rPr>
          <w:lang w:val="en-US"/>
        </w:rPr>
        <w:t>. Revised</w:t>
      </w:r>
      <w:r>
        <w:rPr>
          <w:lang w:val="en-US"/>
        </w:rPr>
        <w:t>,</w:t>
      </w:r>
      <w:r w:rsidR="003D1D73">
        <w:rPr>
          <w:lang w:val="en-US"/>
        </w:rPr>
        <w:t xml:space="preserve"> 1971</w:t>
      </w:r>
      <w:r>
        <w:rPr>
          <w:lang w:val="en-US"/>
        </w:rPr>
        <w:t>; r</w:t>
      </w:r>
      <w:r w:rsidR="003D1D73">
        <w:rPr>
          <w:lang w:val="en-US"/>
        </w:rPr>
        <w:t xml:space="preserve">evised and </w:t>
      </w:r>
      <w:r>
        <w:rPr>
          <w:lang w:val="en-US"/>
        </w:rPr>
        <w:t>a</w:t>
      </w:r>
      <w:r w:rsidR="003D1D73">
        <w:rPr>
          <w:lang w:val="en-US"/>
        </w:rPr>
        <w:t>mplified</w:t>
      </w:r>
      <w:r>
        <w:rPr>
          <w:lang w:val="en-US"/>
        </w:rPr>
        <w:t>,</w:t>
      </w:r>
      <w:r w:rsidR="003D1D73">
        <w:rPr>
          <w:lang w:val="en-US"/>
        </w:rPr>
        <w:t xml:space="preserve"> 1979. See also </w:t>
      </w:r>
      <w:r w:rsidRPr="001169A2">
        <w:t>https://sourceforge.net/projects/txm/files/corpora/brown</w:t>
      </w:r>
      <w:r>
        <w:rPr>
          <w:lang w:val="en-US"/>
        </w:rPr>
        <w:t>.</w:t>
      </w:r>
    </w:p>
    <w:p w:rsidR="009D040E" w:rsidRDefault="003D1D73" w:rsidP="001169A2">
      <w:pPr>
        <w:rPr>
          <w:lang w:val="en-US"/>
        </w:rPr>
      </w:pPr>
      <w:r w:rsidRPr="001169A2">
        <w:rPr>
          <w:b/>
          <w:lang w:val="en-US"/>
        </w:rPr>
        <w:t>Heiden, S.</w:t>
      </w:r>
      <w:r>
        <w:rPr>
          <w:lang w:val="en-US"/>
        </w:rPr>
        <w:t xml:space="preserve"> (2010). The TXM Platform: Building Open-Source Textual Analysis Software Compatible with the TEI Encoding Scheme. </w:t>
      </w:r>
      <w:r w:rsidR="000D673F">
        <w:rPr>
          <w:lang w:val="en-US"/>
        </w:rPr>
        <w:t xml:space="preserve">In </w:t>
      </w:r>
      <w:r w:rsidR="009D040E">
        <w:t xml:space="preserve">Otoguro, R., Ishikawa, K., Umemoto, H., Yoshimoto, K. and Harada, Y. (eds), </w:t>
      </w:r>
      <w:r w:rsidR="009D040E" w:rsidRPr="001169A2">
        <w:rPr>
          <w:i/>
        </w:rPr>
        <w:t xml:space="preserve">24th Pacific Asia Conference on Language, Information and </w:t>
      </w:r>
      <w:r w:rsidR="009D040E" w:rsidRPr="001169A2">
        <w:rPr>
          <w:i/>
        </w:rPr>
        <w:lastRenderedPageBreak/>
        <w:t>Computation</w:t>
      </w:r>
      <w:r w:rsidR="009D040E">
        <w:t>, Nov</w:t>
      </w:r>
      <w:r w:rsidR="000D673F">
        <w:t>ember 2010, Sendai, Japan,</w:t>
      </w:r>
      <w:r w:rsidR="009D040E">
        <w:t xml:space="preserve"> Institute for Digital Enhancement of Cognitive Development, Waseda University, pp.</w:t>
      </w:r>
      <w:r w:rsidR="000D673F">
        <w:t xml:space="preserve"> </w:t>
      </w:r>
      <w:r w:rsidR="009D040E">
        <w:t>389</w:t>
      </w:r>
      <w:r w:rsidR="000D673F">
        <w:t>–</w:t>
      </w:r>
      <w:r w:rsidR="009D040E">
        <w:t>98</w:t>
      </w:r>
      <w:r w:rsidR="000D673F">
        <w:rPr>
          <w:lang w:val="en-US"/>
        </w:rPr>
        <w:t>.</w:t>
      </w:r>
    </w:p>
    <w:p w:rsidR="00BF05F2" w:rsidRDefault="00F275B9" w:rsidP="001169A2">
      <w:pPr>
        <w:rPr>
          <w:lang w:val="en-US"/>
        </w:rPr>
      </w:pPr>
      <w:r w:rsidRPr="001169A2">
        <w:rPr>
          <w:b/>
        </w:rPr>
        <w:t>Heiden</w:t>
      </w:r>
      <w:r w:rsidR="00C37A2D">
        <w:rPr>
          <w:b/>
        </w:rPr>
        <w:t>,</w:t>
      </w:r>
      <w:r w:rsidRPr="001169A2">
        <w:rPr>
          <w:b/>
        </w:rPr>
        <w:t xml:space="preserve"> S., Guillot</w:t>
      </w:r>
      <w:r w:rsidR="000D673F" w:rsidRPr="001169A2">
        <w:rPr>
          <w:b/>
        </w:rPr>
        <w:t>,</w:t>
      </w:r>
      <w:r w:rsidRPr="001169A2">
        <w:rPr>
          <w:b/>
        </w:rPr>
        <w:t xml:space="preserve"> C., Lavrentiev</w:t>
      </w:r>
      <w:r w:rsidR="000D673F" w:rsidRPr="001169A2">
        <w:rPr>
          <w:b/>
        </w:rPr>
        <w:t>,</w:t>
      </w:r>
      <w:r w:rsidRPr="001169A2">
        <w:rPr>
          <w:b/>
        </w:rPr>
        <w:t xml:space="preserve"> A.</w:t>
      </w:r>
      <w:r w:rsidR="000D673F" w:rsidRPr="001169A2">
        <w:rPr>
          <w:b/>
        </w:rPr>
        <w:t xml:space="preserve"> and</w:t>
      </w:r>
      <w:r w:rsidRPr="001169A2">
        <w:rPr>
          <w:b/>
        </w:rPr>
        <w:t xml:space="preserve"> Bertrand, L.</w:t>
      </w:r>
      <w:r w:rsidRPr="001169A2">
        <w:t xml:space="preserve"> (2010). Manuel d</w:t>
      </w:r>
      <w:r w:rsidR="001E2179" w:rsidRPr="001169A2">
        <w:t>’</w:t>
      </w:r>
      <w:r w:rsidRPr="001169A2">
        <w:t>encodage BFM / XML-TEI, Version 4.0, BFM</w:t>
      </w:r>
      <w:r w:rsidR="000D673F">
        <w:t>–</w:t>
      </w:r>
      <w:r w:rsidRPr="001169A2">
        <w:t>Base de Français Médiéval [En ligne]. Lyon: ENS de Lyon, Laboratoire ICA</w:t>
      </w:r>
      <w:r>
        <w:rPr>
          <w:lang w:val="en-US"/>
        </w:rPr>
        <w:t xml:space="preserve">R, </w:t>
      </w:r>
      <w:r w:rsidR="000D673F" w:rsidRPr="001169A2">
        <w:t>http://bfm.ens-lyon.fr/IMG/pdf/Manuel_Encodage_TEI.pdf</w:t>
      </w:r>
      <w:r>
        <w:rPr>
          <w:lang w:val="en-US"/>
        </w:rPr>
        <w:t>.</w:t>
      </w:r>
    </w:p>
    <w:p w:rsidR="00BF05F2" w:rsidRDefault="00BF05F2" w:rsidP="001169A2">
      <w:pPr>
        <w:ind w:left="560" w:hanging="540"/>
        <w:rPr>
          <w:lang w:val="en-US"/>
        </w:rPr>
      </w:pPr>
    </w:p>
    <w:p w:rsidR="00F275B9" w:rsidRDefault="00F275B9" w:rsidP="001169A2">
      <w:pPr>
        <w:ind w:left="570" w:hanging="555"/>
      </w:pPr>
    </w:p>
    <w:sectPr w:rsidR="00F275B9">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C31" w:rsidRDefault="00631C31">
      <w:r>
        <w:separator/>
      </w:r>
    </w:p>
  </w:endnote>
  <w:endnote w:type="continuationSeparator" w:id="0">
    <w:p w:rsidR="00631C31" w:rsidRDefault="0063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C31" w:rsidRDefault="00631C31">
      <w:r>
        <w:separator/>
      </w:r>
    </w:p>
  </w:footnote>
  <w:footnote w:type="continuationSeparator" w:id="0">
    <w:p w:rsidR="00631C31" w:rsidRDefault="00631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DE"/>
    <w:rsid w:val="000D673F"/>
    <w:rsid w:val="001169A2"/>
    <w:rsid w:val="001E2179"/>
    <w:rsid w:val="003771DE"/>
    <w:rsid w:val="003A479D"/>
    <w:rsid w:val="003D1D73"/>
    <w:rsid w:val="00440553"/>
    <w:rsid w:val="00631C31"/>
    <w:rsid w:val="006C1962"/>
    <w:rsid w:val="00994F90"/>
    <w:rsid w:val="009D040E"/>
    <w:rsid w:val="009E6EB1"/>
    <w:rsid w:val="00B216B3"/>
    <w:rsid w:val="00BF05F2"/>
    <w:rsid w:val="00C37A2D"/>
    <w:rsid w:val="00F2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2D1DAB2-25D4-4306-9415-A7584E93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WenQuanYi Micro Hei" w:cs="Lohit Hindi"/>
      <w:kern w:val="1"/>
      <w:sz w:val="24"/>
      <w:szCs w:val="24"/>
      <w:lang w:val="fr-FR"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Absatz-Standardschriftart">
    <w:name w:val="Absatz-Standardschriftart"/>
  </w:style>
  <w:style w:type="character" w:customStyle="1" w:styleId="Puces">
    <w:name w:val="Puces"/>
    <w:rPr>
      <w:rFonts w:ascii="OpenSymbol" w:eastAsia="OpenSymbol" w:hAnsi="OpenSymbol" w:cs="OpenSymbol"/>
    </w:rPr>
  </w:style>
  <w:style w:type="character" w:styleId="Hyperlink">
    <w:name w:val="Hyperlink"/>
    <w:rPr>
      <w:color w:val="000080"/>
      <w:u w:val="single"/>
    </w:rPr>
  </w:style>
  <w:style w:type="character" w:customStyle="1" w:styleId="Caractresdenotedebasdepage">
    <w:name w:val="Caractères de note de bas de page"/>
  </w:style>
  <w:style w:type="character" w:styleId="FootnoteReference">
    <w:name w:val="footnote reference"/>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styleId="EndnoteReference">
    <w:name w:val="endnote reference"/>
    <w:rPr>
      <w:vertAlign w:val="superscript"/>
    </w:rPr>
  </w:style>
  <w:style w:type="paragraph" w:customStyle="1" w:styleId="Titre">
    <w:name w:val="Titre"/>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ableofFigures">
    <w:name w:val="table of figures"/>
    <w:basedOn w:val="Caption"/>
  </w:style>
  <w:style w:type="paragraph" w:customStyle="1" w:styleId="Tableau">
    <w:name w:val="Tableau"/>
    <w:basedOn w:val="Caption"/>
  </w:style>
  <w:style w:type="paragraph" w:customStyle="1" w:styleId="Contenuducadre">
    <w:name w:val="Contenu du cadre"/>
    <w:basedOn w:val="BodyText"/>
  </w:style>
  <w:style w:type="paragraph" w:styleId="FootnoteText">
    <w:name w:val="footnote text"/>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B216B3"/>
    <w:rPr>
      <w:rFonts w:ascii="Segoe UI" w:hAnsi="Segoe UI" w:cs="Mangal"/>
      <w:sz w:val="18"/>
      <w:szCs w:val="16"/>
    </w:rPr>
  </w:style>
  <w:style w:type="character" w:customStyle="1" w:styleId="BalloonTextChar">
    <w:name w:val="Balloon Text Char"/>
    <w:basedOn w:val="DefaultParagraphFont"/>
    <w:link w:val="BalloonText"/>
    <w:uiPriority w:val="99"/>
    <w:semiHidden/>
    <w:rsid w:val="00B216B3"/>
    <w:rPr>
      <w:rFonts w:ascii="Segoe UI" w:eastAsia="WenQuanYi Micro Hei" w:hAnsi="Segoe UI" w:cs="Mangal"/>
      <w:kern w:val="1"/>
      <w:sz w:val="18"/>
      <w:szCs w:val="16"/>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1643-4304-4A0B-8765-669E184B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Heiden</dc:creator>
  <cp:keywords/>
  <cp:lastModifiedBy>Bob2</cp:lastModifiedBy>
  <cp:revision>3</cp:revision>
  <cp:lastPrinted>2015-04-08T01:14:00Z</cp:lastPrinted>
  <dcterms:created xsi:type="dcterms:W3CDTF">2015-04-19T20:47:00Z</dcterms:created>
  <dcterms:modified xsi:type="dcterms:W3CDTF">2015-05-03T16:56:00Z</dcterms:modified>
</cp:coreProperties>
</file>