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B04" w:rsidRPr="00BF5368" w:rsidRDefault="00055B04" w:rsidP="00055B04">
      <w:pPr>
        <w:jc w:val="left"/>
        <w:rPr>
          <w:b/>
          <w:sz w:val="28"/>
          <w:szCs w:val="28"/>
        </w:rPr>
      </w:pPr>
      <w:r w:rsidRPr="00BF5368">
        <w:rPr>
          <w:b/>
          <w:sz w:val="28"/>
          <w:szCs w:val="28"/>
        </w:rPr>
        <w:t>HUNTER — Collaborative</w:t>
      </w:r>
    </w:p>
    <w:p w:rsidR="00055B04" w:rsidRPr="00BF5368" w:rsidRDefault="00055B04" w:rsidP="00055B04">
      <w:pPr>
        <w:jc w:val="left"/>
        <w:rPr>
          <w:sz w:val="24"/>
        </w:rPr>
      </w:pPr>
      <w:r>
        <w:rPr>
          <w:sz w:val="24"/>
        </w:rPr>
        <w:t>&lt;1 figure&gt;</w:t>
      </w:r>
    </w:p>
    <w:p w:rsidR="00055B04" w:rsidRDefault="00055B04" w:rsidP="00055B04">
      <w:pPr>
        <w:jc w:val="left"/>
        <w:rPr>
          <w:b/>
          <w:sz w:val="24"/>
        </w:rPr>
      </w:pPr>
    </w:p>
    <w:p w:rsidR="00055B04" w:rsidRDefault="00055B04" w:rsidP="00055B04">
      <w:pPr>
        <w:jc w:val="left"/>
        <w:rPr>
          <w:b/>
          <w:sz w:val="24"/>
        </w:rPr>
      </w:pPr>
    </w:p>
    <w:p w:rsidR="004F61ED" w:rsidRDefault="00E9699D" w:rsidP="00055B04">
      <w:pPr>
        <w:jc w:val="left"/>
        <w:rPr>
          <w:b/>
          <w:sz w:val="24"/>
        </w:rPr>
      </w:pPr>
      <w:r w:rsidRPr="00055B04">
        <w:rPr>
          <w:b/>
          <w:sz w:val="24"/>
        </w:rPr>
        <w:t xml:space="preserve">A Collaborative Interdisciplinary Knowledge-Base for the Art Conservation Community </w:t>
      </w:r>
    </w:p>
    <w:p w:rsidR="00055B04" w:rsidRPr="00BF5368" w:rsidRDefault="00055B04" w:rsidP="00055B04">
      <w:pPr>
        <w:jc w:val="left"/>
        <w:rPr>
          <w:sz w:val="24"/>
        </w:rPr>
      </w:pPr>
      <w:r>
        <w:rPr>
          <w:sz w:val="24"/>
        </w:rPr>
        <w:t>Hunter, J., Odat, S. and Drennan, J.</w:t>
      </w:r>
    </w:p>
    <w:p w:rsidR="00055B04" w:rsidRDefault="00055B04" w:rsidP="00055B04">
      <w:pPr>
        <w:autoSpaceDE w:val="0"/>
        <w:autoSpaceDN w:val="0"/>
        <w:adjustRightInd w:val="0"/>
        <w:jc w:val="left"/>
        <w:rPr>
          <w:b/>
          <w:sz w:val="24"/>
        </w:rPr>
      </w:pPr>
    </w:p>
    <w:p w:rsidR="007656F1" w:rsidRPr="00055B04" w:rsidRDefault="007656F1" w:rsidP="00055B04">
      <w:pPr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Due to increasing access to sophisticated analytical techniques, painting conservation has evolved into a highly interdisciplinary research area that requires the integration of knowledge 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and 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‘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>big data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’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about art histo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>ry (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artists, artistic techniques, art provenance), the physical and chemical properties of paint and 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pigments,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chemical processes associated with 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>treatment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cleaning methods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advanced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>high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-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>resolution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characterization techniques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. The ultimate aim is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to determine the precise cause of the degradation or discoloration that is occurring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in a particular </w:t>
      </w:r>
      <w:r w:rsidR="001D2125" w:rsidRPr="00055B04">
        <w:rPr>
          <w:rFonts w:ascii="TimesNewRomanPSMT" w:eastAsiaTheme="minorHAnsi" w:hAnsi="TimesNewRomanPSMT" w:cs="TimesNewRomanPSMT"/>
          <w:sz w:val="24"/>
          <w:lang w:val="en-AU"/>
        </w:rPr>
        <w:t>artwork or across a set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of paintings 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>and the optimum method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>s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for treating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and preventing 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>it.</w:t>
      </w:r>
    </w:p>
    <w:p w:rsidR="00055B04" w:rsidRDefault="007656F1" w:rsidP="00BF5368">
      <w:pPr>
        <w:autoSpaceDE w:val="0"/>
        <w:autoSpaceDN w:val="0"/>
        <w:adjustRightInd w:val="0"/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challenge is that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data and information required by art conservators to inform decision making 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 xml:space="preserve">are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highly heterogeneous and distributed across databases, scholarly publications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the Web. Experti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se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is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also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distributed across art galleries, conservation centres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universities around the globe. Although it is possible to find some concentrated authoritative collections of i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nformation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on the Web (e.g., </w:t>
      </w:r>
      <w:bookmarkStart w:id="0" w:name="OLE_LINK1"/>
      <w:bookmarkStart w:id="1" w:name="OLE_LINK2"/>
      <w:r w:rsidRPr="00BF5368">
        <w:rPr>
          <w:rFonts w:ascii="TimesNewRomanPSMT" w:eastAsiaTheme="minorHAnsi" w:hAnsi="TimesNewRomanPSMT" w:cs="TimesNewRomanPSMT"/>
          <w:i/>
          <w:sz w:val="24"/>
          <w:lang w:val="en-AU"/>
        </w:rPr>
        <w:t>Journal of the American Institute of Conservation</w:t>
      </w:r>
      <w:bookmarkEnd w:id="0"/>
      <w:bookmarkEnd w:id="1"/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, Smithsonian Museum Conservation Institute 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[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MCI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]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, Getty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Conservation and Research Institutes, CAMEO materials 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>database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Forbes Pigment</w:t>
      </w:r>
      <w:r w:rsidR="00E0062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database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), the information is often embedded wi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thin databases or is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highly unstructured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>data hidden in textual documents. R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elevant information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>may exist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but it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is difficult to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find,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extract, re-use, interpret, correlate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or compare.</w:t>
      </w:r>
    </w:p>
    <w:p w:rsidR="00674462" w:rsidRDefault="001D2125" w:rsidP="00BF5368">
      <w:pPr>
        <w:autoSpaceDE w:val="0"/>
        <w:autoSpaceDN w:val="0"/>
        <w:adjustRightInd w:val="0"/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 w:rsidRPr="00055B04">
        <w:rPr>
          <w:rFonts w:ascii="TimesNewRomanPSMT" w:eastAsiaTheme="minorHAnsi" w:hAnsi="TimesNewRomanPSMT" w:cs="TimesNewRomanPSMT"/>
          <w:sz w:val="24"/>
          <w:lang w:val="en-AU"/>
        </w:rPr>
        <w:t>For example, it is very difficult for art conservators to find other past examples of conservation issues th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>at most closely match the problem they are trying to solve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. Moreover</w:t>
      </w:r>
      <w:r w:rsidR="007656F1" w:rsidRPr="00055B04">
        <w:rPr>
          <w:rFonts w:ascii="TimesNewRomanPSMT" w:eastAsiaTheme="minorHAnsi" w:hAnsi="TimesNewRomanPSMT" w:cs="TimesNewRomanPSMT"/>
          <w:sz w:val="24"/>
          <w:lang w:val="en-AU"/>
        </w:rPr>
        <w:t>, the experimental data underpinning publications that describe the long</w:t>
      </w:r>
      <w:r w:rsidR="00504193">
        <w:rPr>
          <w:rFonts w:ascii="TimesNewRomanPSMT" w:eastAsiaTheme="minorHAnsi" w:hAnsi="TimesNewRomanPSMT" w:cs="TimesNewRomanPSMT"/>
          <w:sz w:val="24"/>
          <w:lang w:val="en-AU"/>
        </w:rPr>
        <w:t>-</w:t>
      </w:r>
      <w:r w:rsidR="007656F1" w:rsidRPr="00055B04">
        <w:rPr>
          <w:rFonts w:ascii="TimesNewRomanPSMT" w:eastAsiaTheme="minorHAnsi" w:hAnsi="TimesNewRomanPSMT" w:cs="TimesNewRomanPSMT"/>
          <w:sz w:val="24"/>
          <w:lang w:val="en-AU"/>
        </w:rPr>
        <w:t>term effects of different environmental conditions (humidity, temperature, UV light) on different paints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pigments</w:t>
      </w:r>
      <w:r w:rsidR="007656F1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is not accessible, verifiable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7656F1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or re-usable.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Typically, th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>e raw data (FTIR, spectrographs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, X-ra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y diffraction images, SEM/TEM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images) associated with the analysis of a particular painting or paint samples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 xml:space="preserve"> are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not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>available even if described within a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related publication.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Our community of conservators, curators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scientists want a Web-based search interface that provides answers to questions such as</w:t>
      </w:r>
    </w:p>
    <w:p w:rsidR="00055B04" w:rsidRPr="00055B04" w:rsidRDefault="00055B04" w:rsidP="00BF5368">
      <w:pPr>
        <w:autoSpaceDE w:val="0"/>
        <w:autoSpaceDN w:val="0"/>
        <w:adjustRightInd w:val="0"/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674462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>What is the best way to treat zinc oxides occurring in paintings by Rover Thomas?</w:t>
      </w:r>
    </w:p>
    <w:p w:rsidR="00674462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>What are the factors that cause or accelerate the occurrence of lead soaps in paintings by R.</w:t>
      </w:r>
      <w:r>
        <w:rPr>
          <w:rFonts w:ascii="TimesNewRomanPSMT" w:eastAsiaTheme="minorHAnsi" w:hAnsi="TimesNewRomanPSMT" w:cs="TimesNewRomanPSMT"/>
          <w:sz w:val="24"/>
          <w:lang w:val="en-AU"/>
        </w:rPr>
        <w:t xml:space="preserve"> </w:t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>Godfrey Rivers?</w:t>
      </w:r>
    </w:p>
    <w:p w:rsidR="00674462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 xml:space="preserve">What is the best solvent for removing varnish from the painting </w:t>
      </w:r>
      <w:r>
        <w:rPr>
          <w:rFonts w:ascii="TimesNewRomanPSMT" w:eastAsiaTheme="minorHAnsi" w:hAnsi="TimesNewRomanPSMT" w:cs="TimesNewRomanPSMT"/>
          <w:sz w:val="24"/>
          <w:lang w:val="en-AU"/>
        </w:rPr>
        <w:t>‘</w:t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>Epiphany</w:t>
      </w:r>
      <w:r>
        <w:rPr>
          <w:rFonts w:ascii="TimesNewRomanPSMT" w:eastAsiaTheme="minorHAnsi" w:hAnsi="TimesNewRomanPSMT" w:cs="TimesNewRomanPSMT"/>
          <w:sz w:val="24"/>
          <w:lang w:val="en-AU"/>
        </w:rPr>
        <w:t>’</w:t>
      </w:r>
      <w:r w:rsidR="00674462" w:rsidRPr="00BF5368">
        <w:rPr>
          <w:rFonts w:ascii="TimesNewRomanPSMT" w:eastAsiaTheme="minorHAnsi" w:hAnsi="TimesNewRomanPSMT" w:cs="TimesNewRomanPSMT"/>
          <w:sz w:val="24"/>
          <w:lang w:val="en-AU"/>
        </w:rPr>
        <w:t>?</w:t>
      </w:r>
    </w:p>
    <w:p w:rsidR="00E0062F" w:rsidRPr="00055B04" w:rsidRDefault="00E0062F" w:rsidP="00055B04">
      <w:pPr>
        <w:autoSpaceDE w:val="0"/>
        <w:autoSpaceDN w:val="0"/>
        <w:adjustRightInd w:val="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E0062F" w:rsidRDefault="00674462" w:rsidP="00BF5368">
      <w:pPr>
        <w:autoSpaceDE w:val="0"/>
        <w:autoSpaceDN w:val="0"/>
        <w:adjustRightInd w:val="0"/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 w:rsidRPr="00055B04">
        <w:rPr>
          <w:rFonts w:ascii="TimesNewRomanPSMT" w:eastAsiaTheme="minorHAnsi" w:hAnsi="TimesNewRomanPSMT" w:cs="TimesNewRomanPSMT"/>
          <w:sz w:val="24"/>
          <w:lang w:val="en-AU"/>
        </w:rPr>
        <w:t>In order to answer such questions, a broad range of provenance information, characterisation data, publications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experimental results need to be aggregated and synthesized. </w:t>
      </w:r>
      <w:r w:rsidR="001D2125" w:rsidRPr="00055B04">
        <w:rPr>
          <w:rFonts w:ascii="TimesNewRomanPSMT" w:eastAsiaTheme="minorHAnsi" w:hAnsi="TimesNewRomanPSMT" w:cs="TimesNewRomanPSMT"/>
          <w:sz w:val="24"/>
          <w:lang w:val="en-AU"/>
        </w:rPr>
        <w:t>Hence, a key objective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of the Twentieth Century in Paint project</w:t>
      </w:r>
      <w:r w:rsidR="00055B04">
        <w:rPr>
          <w:rFonts w:ascii="TimesNewRomanPSMT" w:eastAsiaTheme="minorHAnsi" w:hAnsi="TimesNewRomanPSMT" w:cs="TimesNewRomanPSMT"/>
          <w:sz w:val="24"/>
          <w:vertAlign w:val="superscript"/>
          <w:lang w:val="en-AU"/>
        </w:rPr>
        <w:t>1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was to investigate the IT infrastructure and services required to provide decision support tools to an online network of art conservators (APTCAARN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—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Asia Pacific Twentieth Century Conservation Art Research Network). An </w:t>
      </w:r>
      <w:r w:rsidR="001D2125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initial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analysis of </w:t>
      </w:r>
      <w:r w:rsidR="001D2125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user requirements </w:t>
      </w:r>
      <w:r w:rsidR="001D2125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of APTCAARN members </w:t>
      </w:r>
      <w:r w:rsidR="000716E7" w:rsidRPr="00055B04">
        <w:rPr>
          <w:rFonts w:ascii="TimesNewRomanPSMT" w:eastAsiaTheme="minorHAnsi" w:hAnsi="TimesNewRomanPSMT" w:cs="TimesNewRomanPSMT"/>
          <w:sz w:val="24"/>
          <w:lang w:val="en-AU"/>
        </w:rPr>
        <w:t>identified a growing demand for</w:t>
      </w:r>
      <w:r w:rsidR="003711D6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the following</w:t>
      </w:r>
      <w:r w:rsidR="00F62038" w:rsidRPr="00055B04">
        <w:rPr>
          <w:rFonts w:ascii="TimesNewRomanPSMT" w:eastAsiaTheme="minorHAnsi" w:hAnsi="TimesNewRomanPSMT" w:cs="TimesNewRomanPSMT"/>
          <w:sz w:val="24"/>
          <w:lang w:val="en-AU"/>
        </w:rPr>
        <w:t>:</w:t>
      </w:r>
    </w:p>
    <w:p w:rsidR="00055B04" w:rsidRPr="00055B04" w:rsidRDefault="00055B04" w:rsidP="00BF5368">
      <w:pPr>
        <w:autoSpaceDE w:val="0"/>
        <w:autoSpaceDN w:val="0"/>
        <w:adjustRightInd w:val="0"/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1D2125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lastRenderedPageBreak/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3711D6" w:rsidRPr="00BF5368">
        <w:rPr>
          <w:rFonts w:ascii="TimesNewRomanPSMT" w:eastAsiaTheme="minorHAnsi" w:hAnsi="TimesNewRomanPSMT" w:cs="TimesNewRomanPSMT"/>
          <w:sz w:val="24"/>
          <w:lang w:val="en-AU"/>
        </w:rPr>
        <w:t>An online repository where experiments and experimental results can be described, stored, shared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3711D6" w:rsidRPr="00BF5368">
        <w:rPr>
          <w:rFonts w:ascii="TimesNewRomanPSMT" w:eastAsiaTheme="minorHAnsi" w:hAnsi="TimesNewRomanPSMT" w:cs="TimesNewRomanPSMT"/>
          <w:sz w:val="24"/>
          <w:lang w:val="en-AU"/>
        </w:rPr>
        <w:t xml:space="preserve"> and discussed</w:t>
      </w:r>
      <w:r>
        <w:rPr>
          <w:rFonts w:ascii="TimesNewRomanPSMT" w:eastAsiaTheme="minorHAnsi" w:hAnsi="TimesNewRomanPSMT" w:cs="TimesNewRomanPSMT"/>
          <w:sz w:val="24"/>
          <w:lang w:val="en-AU"/>
        </w:rPr>
        <w:t>.</w:t>
      </w:r>
    </w:p>
    <w:p w:rsidR="001D2125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3711D6" w:rsidRPr="00BF5368">
        <w:rPr>
          <w:rFonts w:ascii="TimesNewRomanPSMT" w:eastAsiaTheme="minorHAnsi" w:hAnsi="TimesNewRomanPSMT" w:cs="TimesNewRomanPSMT"/>
          <w:sz w:val="24"/>
          <w:lang w:val="en-AU"/>
        </w:rPr>
        <w:t>A search interface that provides seamless access to</w:t>
      </w:r>
      <w:r w:rsidR="000716E7" w:rsidRPr="00BF5368">
        <w:rPr>
          <w:rFonts w:ascii="TimesNewRomanPSMT" w:eastAsiaTheme="minorHAnsi" w:hAnsi="TimesNewRomanPSMT" w:cs="TimesNewRomanPSMT"/>
          <w:sz w:val="24"/>
          <w:lang w:val="en-AU"/>
        </w:rPr>
        <w:t xml:space="preserve"> publically available databases about paints and pigments</w:t>
      </w:r>
      <w:r>
        <w:rPr>
          <w:rFonts w:ascii="TimesNewRomanPSMT" w:eastAsiaTheme="minorHAnsi" w:hAnsi="TimesNewRomanPSMT" w:cs="TimesNewRomanPSMT"/>
          <w:sz w:val="24"/>
          <w:lang w:val="en-AU"/>
        </w:rPr>
        <w:t>.</w:t>
      </w:r>
    </w:p>
    <w:p w:rsidR="000716E7" w:rsidRPr="00BF5368" w:rsidRDefault="00055B04" w:rsidP="00BF5368">
      <w:pPr>
        <w:tabs>
          <w:tab w:val="left" w:pos="720"/>
        </w:tabs>
        <w:autoSpaceDE w:val="0"/>
        <w:autoSpaceDN w:val="0"/>
        <w:adjustRightInd w:val="0"/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0716E7" w:rsidRPr="00BF5368">
        <w:rPr>
          <w:rFonts w:ascii="TimesNewRomanPSMT" w:eastAsiaTheme="minorHAnsi" w:hAnsi="TimesNewRomanPSMT" w:cs="TimesNewRomanPSMT"/>
          <w:sz w:val="24"/>
          <w:lang w:val="en-AU"/>
        </w:rPr>
        <w:t>Tools to enable the extrac</w:t>
      </w:r>
      <w:r>
        <w:rPr>
          <w:rFonts w:ascii="TimesNewRomanPSMT" w:eastAsiaTheme="minorHAnsi" w:hAnsi="TimesNewRomanPSMT" w:cs="TimesNewRomanPSMT"/>
          <w:sz w:val="24"/>
          <w:lang w:val="en-AU"/>
        </w:rPr>
        <w:t>t</w:t>
      </w:r>
      <w:r w:rsidR="000716E7" w:rsidRPr="00BF5368">
        <w:rPr>
          <w:rFonts w:ascii="TimesNewRomanPSMT" w:eastAsiaTheme="minorHAnsi" w:hAnsi="TimesNewRomanPSMT" w:cs="TimesNewRomanPSMT"/>
          <w:sz w:val="24"/>
          <w:lang w:val="en-AU"/>
        </w:rPr>
        <w:t>ion of structured data from publications about art conservation issues</w:t>
      </w:r>
      <w:r>
        <w:rPr>
          <w:rFonts w:ascii="TimesNewRomanPSMT" w:eastAsiaTheme="minorHAnsi" w:hAnsi="TimesNewRomanPSMT" w:cs="TimesNewRomanPSMT"/>
          <w:sz w:val="24"/>
          <w:lang w:val="en-AU"/>
        </w:rPr>
        <w:t>.</w:t>
      </w:r>
    </w:p>
    <w:p w:rsidR="001D2125" w:rsidRPr="00BF5368" w:rsidRDefault="00055B04" w:rsidP="00BF5368">
      <w:pPr>
        <w:tabs>
          <w:tab w:val="left" w:pos="720"/>
        </w:tabs>
        <w:ind w:left="1080" w:hanging="108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>
        <w:rPr>
          <w:rFonts w:ascii="TimesNewRomanPSMT" w:eastAsiaTheme="minorHAnsi" w:hAnsi="TimesNewRomanPSMT" w:cs="TimesNewRomanPSMT"/>
          <w:sz w:val="24"/>
          <w:lang w:val="en-AU"/>
        </w:rPr>
        <w:tab/>
        <w:t>•</w:t>
      </w:r>
      <w:r>
        <w:rPr>
          <w:rFonts w:ascii="TimesNewRomanPSMT" w:eastAsiaTheme="minorHAnsi" w:hAnsi="TimesNewRomanPSMT" w:cs="TimesNewRomanPSMT"/>
          <w:sz w:val="24"/>
          <w:lang w:val="en-AU"/>
        </w:rPr>
        <w:tab/>
      </w:r>
      <w:r w:rsidR="000716E7" w:rsidRPr="00BF5368">
        <w:rPr>
          <w:rFonts w:ascii="TimesNewRomanPSMT" w:eastAsiaTheme="minorHAnsi" w:hAnsi="TimesNewRomanPSMT" w:cs="TimesNewRomanPSMT"/>
          <w:sz w:val="24"/>
          <w:lang w:val="en-AU"/>
        </w:rPr>
        <w:t xml:space="preserve">A SPARQL query interface that supports querying across all </w:t>
      </w:r>
      <w:r w:rsidR="001D2125" w:rsidRPr="00BF5368">
        <w:rPr>
          <w:rFonts w:ascii="TimesNewRomanPSMT" w:eastAsiaTheme="minorHAnsi" w:hAnsi="TimesNewRomanPSMT" w:cs="TimesNewRomanPSMT"/>
          <w:sz w:val="24"/>
          <w:lang w:val="en-AU"/>
        </w:rPr>
        <w:t>of the above</w:t>
      </w:r>
      <w:r w:rsidR="000716E7" w:rsidRPr="00BF5368">
        <w:rPr>
          <w:rFonts w:ascii="TimesNewRomanPSMT" w:eastAsiaTheme="minorHAnsi" w:hAnsi="TimesNewRomanPSMT" w:cs="TimesNewRomanPSMT"/>
          <w:sz w:val="24"/>
          <w:lang w:val="en-AU"/>
        </w:rPr>
        <w:t>.</w:t>
      </w:r>
    </w:p>
    <w:p w:rsidR="000716E7" w:rsidRPr="00055B04" w:rsidRDefault="000716E7" w:rsidP="00055B04">
      <w:pPr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AA10EF" w:rsidRDefault="000716E7" w:rsidP="00BF5368">
      <w:pPr>
        <w:ind w:firstLine="720"/>
        <w:jc w:val="left"/>
        <w:rPr>
          <w:rFonts w:ascii="TimesNewRomanPSMT" w:eastAsiaTheme="minorHAnsi" w:hAnsi="TimesNewRomanPSMT" w:cs="TimesNewRomanPSMT"/>
          <w:sz w:val="24"/>
          <w:lang w:val="en-AU"/>
        </w:rPr>
      </w:pPr>
      <w:r w:rsidRPr="00055B04">
        <w:rPr>
          <w:rFonts w:ascii="TimesNewRomanPSMT" w:eastAsiaTheme="minorHAnsi" w:hAnsi="TimesNewRomanPSMT" w:cs="TimesNewRomanPSMT"/>
          <w:sz w:val="24"/>
          <w:lang w:val="en-AU"/>
        </w:rPr>
        <w:t>This paper will describe the architecture, ontology, repository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services that 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 xml:space="preserve">constitute 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the Art Conservation Knowledge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-</w:t>
      </w:r>
      <w:r w:rsidRPr="00055B04">
        <w:rPr>
          <w:rFonts w:ascii="TimesNewRomanPSMT" w:eastAsiaTheme="minorHAnsi" w:hAnsi="TimesNewRomanPSMT" w:cs="TimesNewRomanPSMT"/>
          <w:sz w:val="24"/>
          <w:lang w:val="en-AU"/>
        </w:rPr>
        <w:t>base. It will describe the OPPRA (Ontology for the Preservation of Art) ontology, the experimental data capture interface and archive, the mapping tools (that ma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>p external databases to OPPRA)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and 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the GATE pipeline 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>(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that integrates a Named Entity Recognition 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[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>NER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]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tool for tagging concepts and named entities within paint conservation publications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 xml:space="preserve">, with 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>a Relation Extraction classifier for identifying OPPRA-based r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elations between named entities) </w:t>
      </w:r>
      <w:r w:rsidR="00674462" w:rsidRPr="00055B04">
        <w:rPr>
          <w:rFonts w:ascii="TimesNewRomanPSMT" w:eastAsiaTheme="minorHAnsi" w:hAnsi="TimesNewRomanPSMT" w:cs="TimesNewRomanPSMT"/>
          <w:sz w:val="24"/>
          <w:lang w:val="en-AU"/>
        </w:rPr>
        <w:t>to extract structured data from a corpus of key publications on art conservation.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We will also give a demo of the ontology-based federated search interface, designed to support the queries described above. Finally</w:t>
      </w:r>
      <w:r w:rsidR="006671C5">
        <w:rPr>
          <w:rFonts w:ascii="TimesNewRomanPSMT" w:eastAsiaTheme="minorHAnsi" w:hAnsi="TimesNewRomanPSMT" w:cs="TimesNewRomanPSMT"/>
          <w:sz w:val="24"/>
          <w:lang w:val="en-AU"/>
        </w:rPr>
        <w:t>,</w:t>
      </w:r>
      <w:r w:rsidR="00AA10EF" w:rsidRPr="00055B04">
        <w:rPr>
          <w:rFonts w:ascii="TimesNewRomanPSMT" w:eastAsiaTheme="minorHAnsi" w:hAnsi="TimesNewRomanPSMT" w:cs="TimesNewRomanPSMT"/>
          <w:sz w:val="24"/>
          <w:lang w:val="en-AU"/>
        </w:rPr>
        <w:t xml:space="preserve"> the results of evaluating the system both from a user endpoint and empirically will be presented.</w:t>
      </w:r>
    </w:p>
    <w:p w:rsidR="00055B04" w:rsidRDefault="00055B04" w:rsidP="00055B04">
      <w:pPr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055B04" w:rsidRPr="00055B04" w:rsidRDefault="00055B04" w:rsidP="00055B04">
      <w:pPr>
        <w:jc w:val="left"/>
        <w:rPr>
          <w:rFonts w:ascii="TimesNewRomanPSMT" w:eastAsiaTheme="minorHAnsi" w:hAnsi="TimesNewRomanPSMT" w:cs="TimesNewRomanPSMT"/>
          <w:sz w:val="24"/>
          <w:lang w:val="en-AU"/>
        </w:rPr>
      </w:pPr>
    </w:p>
    <w:p w:rsidR="00674462" w:rsidRPr="00055B04" w:rsidRDefault="00674462" w:rsidP="00055B04">
      <w:pPr>
        <w:spacing w:before="120"/>
        <w:jc w:val="left"/>
        <w:rPr>
          <w:b/>
          <w:sz w:val="24"/>
        </w:rPr>
      </w:pPr>
      <w:r w:rsidRPr="00055B04">
        <w:rPr>
          <w:b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595620" cy="397129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B04" w:rsidRPr="00055B04" w:rsidRDefault="00B66531" w:rsidP="00055B04">
      <w:pPr>
        <w:jc w:val="left"/>
        <w:rPr>
          <w:sz w:val="24"/>
        </w:rPr>
      </w:pPr>
      <w:r>
        <w:rPr>
          <w:sz w:val="24"/>
        </w:rPr>
        <w:pict>
          <v:rect id="_x0000_i1025" style="width:0;height:1.5pt" o:hrstd="t" o:hr="t" fillcolor="#a0a0a0" stroked="f"/>
        </w:pict>
      </w:r>
    </w:p>
    <w:p w:rsidR="00674462" w:rsidRPr="00055B04" w:rsidRDefault="00AA10EF" w:rsidP="00055B04">
      <w:pPr>
        <w:jc w:val="left"/>
        <w:rPr>
          <w:sz w:val="24"/>
        </w:rPr>
      </w:pPr>
      <w:r w:rsidRPr="00055B04">
        <w:rPr>
          <w:sz w:val="24"/>
        </w:rPr>
        <w:t>Figure 1</w:t>
      </w:r>
      <w:r w:rsidR="00055B04">
        <w:rPr>
          <w:sz w:val="24"/>
        </w:rPr>
        <w:t xml:space="preserve">. </w:t>
      </w:r>
      <w:r w:rsidRPr="00055B04">
        <w:rPr>
          <w:sz w:val="24"/>
        </w:rPr>
        <w:t xml:space="preserve">Modelling and </w:t>
      </w:r>
      <w:r w:rsidR="00055B04">
        <w:rPr>
          <w:sz w:val="24"/>
        </w:rPr>
        <w:t>e</w:t>
      </w:r>
      <w:r w:rsidRPr="00055B04">
        <w:rPr>
          <w:sz w:val="24"/>
        </w:rPr>
        <w:t xml:space="preserve">xtracting </w:t>
      </w:r>
      <w:r w:rsidR="00055B04">
        <w:rPr>
          <w:sz w:val="24"/>
        </w:rPr>
        <w:t>s</w:t>
      </w:r>
      <w:r w:rsidRPr="00055B04">
        <w:rPr>
          <w:sz w:val="24"/>
        </w:rPr>
        <w:t xml:space="preserve">tructured </w:t>
      </w:r>
      <w:r w:rsidR="00055B04">
        <w:rPr>
          <w:sz w:val="24"/>
        </w:rPr>
        <w:t>d</w:t>
      </w:r>
      <w:r w:rsidRPr="00055B04">
        <w:rPr>
          <w:sz w:val="24"/>
        </w:rPr>
        <w:t xml:space="preserve">ata from a </w:t>
      </w:r>
      <w:r w:rsidR="00055B04">
        <w:rPr>
          <w:sz w:val="24"/>
        </w:rPr>
        <w:t>p</w:t>
      </w:r>
      <w:r w:rsidRPr="00055B04">
        <w:rPr>
          <w:sz w:val="24"/>
        </w:rPr>
        <w:t xml:space="preserve">ublication about </w:t>
      </w:r>
      <w:r w:rsidR="00055B04">
        <w:rPr>
          <w:sz w:val="24"/>
        </w:rPr>
        <w:t>e</w:t>
      </w:r>
      <w:r w:rsidRPr="00055B04">
        <w:rPr>
          <w:sz w:val="24"/>
        </w:rPr>
        <w:t xml:space="preserve">xperiments on </w:t>
      </w:r>
      <w:r w:rsidR="00055B04">
        <w:rPr>
          <w:sz w:val="24"/>
        </w:rPr>
        <w:t>l</w:t>
      </w:r>
      <w:r w:rsidRPr="00055B04">
        <w:rPr>
          <w:sz w:val="24"/>
        </w:rPr>
        <w:t xml:space="preserve">ead </w:t>
      </w:r>
      <w:r w:rsidR="00055B04">
        <w:rPr>
          <w:sz w:val="24"/>
        </w:rPr>
        <w:t>s</w:t>
      </w:r>
      <w:r w:rsidRPr="00055B04">
        <w:rPr>
          <w:sz w:val="24"/>
        </w:rPr>
        <w:t xml:space="preserve">oaps in a </w:t>
      </w:r>
      <w:r w:rsidR="00055B04">
        <w:rPr>
          <w:sz w:val="24"/>
        </w:rPr>
        <w:t>p</w:t>
      </w:r>
      <w:r w:rsidRPr="00055B04">
        <w:rPr>
          <w:sz w:val="24"/>
        </w:rPr>
        <w:t>ainting by Van Gogh</w:t>
      </w:r>
      <w:r w:rsidR="00055B04">
        <w:rPr>
          <w:sz w:val="24"/>
        </w:rPr>
        <w:t>.</w:t>
      </w:r>
    </w:p>
    <w:p w:rsidR="00055B04" w:rsidRDefault="00055B04" w:rsidP="00055B04">
      <w:pPr>
        <w:spacing w:before="240"/>
        <w:jc w:val="left"/>
        <w:rPr>
          <w:b/>
          <w:sz w:val="24"/>
        </w:rPr>
      </w:pPr>
    </w:p>
    <w:p w:rsidR="00055B04" w:rsidRDefault="00055B04" w:rsidP="00055B04">
      <w:pPr>
        <w:spacing w:before="240"/>
        <w:jc w:val="left"/>
        <w:rPr>
          <w:b/>
          <w:sz w:val="24"/>
        </w:rPr>
      </w:pPr>
      <w:r>
        <w:rPr>
          <w:b/>
          <w:sz w:val="24"/>
        </w:rPr>
        <w:lastRenderedPageBreak/>
        <w:t>Note</w:t>
      </w:r>
    </w:p>
    <w:p w:rsidR="00055B04" w:rsidRDefault="00055B04" w:rsidP="00055B04">
      <w:pPr>
        <w:pStyle w:val="FootnoteTex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055B04">
        <w:rPr>
          <w:sz w:val="24"/>
          <w:szCs w:val="24"/>
        </w:rPr>
        <w:t>http://www.20thcpaint.org/</w:t>
      </w:r>
      <w:r>
        <w:rPr>
          <w:sz w:val="24"/>
          <w:szCs w:val="24"/>
        </w:rPr>
        <w:t>.</w:t>
      </w:r>
    </w:p>
    <w:p w:rsidR="006671C5" w:rsidRPr="00055B04" w:rsidRDefault="006671C5" w:rsidP="00055B04">
      <w:pPr>
        <w:pStyle w:val="FootnoteText"/>
        <w:rPr>
          <w:sz w:val="24"/>
          <w:szCs w:val="24"/>
          <w:lang w:val="en-AU"/>
        </w:rPr>
      </w:pPr>
    </w:p>
    <w:p w:rsidR="00863DFF" w:rsidRPr="00055B04" w:rsidRDefault="00055B04" w:rsidP="00BF5368">
      <w:pPr>
        <w:jc w:val="left"/>
        <w:rPr>
          <w:b/>
          <w:sz w:val="24"/>
        </w:rPr>
      </w:pPr>
      <w:r>
        <w:rPr>
          <w:b/>
          <w:sz w:val="24"/>
        </w:rPr>
        <w:t>References</w:t>
      </w:r>
      <w:bookmarkStart w:id="2" w:name="_GoBack"/>
      <w:bookmarkEnd w:id="2"/>
    </w:p>
    <w:p w:rsidR="00E9699D" w:rsidRPr="00055B04" w:rsidRDefault="00E9699D" w:rsidP="00BF5368">
      <w:pPr>
        <w:jc w:val="left"/>
        <w:rPr>
          <w:sz w:val="24"/>
        </w:rPr>
      </w:pPr>
      <w:r w:rsidRPr="00BF5368">
        <w:rPr>
          <w:b/>
          <w:sz w:val="24"/>
        </w:rPr>
        <w:t>Hunter, J.</w:t>
      </w:r>
      <w:r w:rsidR="006671C5" w:rsidRPr="00BF5368">
        <w:rPr>
          <w:b/>
          <w:sz w:val="24"/>
        </w:rPr>
        <w:t xml:space="preserve"> and </w:t>
      </w:r>
      <w:r w:rsidRPr="00BF5368">
        <w:rPr>
          <w:b/>
          <w:sz w:val="24"/>
        </w:rPr>
        <w:t>Odat, S.</w:t>
      </w:r>
      <w:r w:rsidRPr="00055B04">
        <w:rPr>
          <w:sz w:val="24"/>
        </w:rPr>
        <w:t xml:space="preserve"> </w:t>
      </w:r>
      <w:r w:rsidR="006671C5">
        <w:rPr>
          <w:sz w:val="24"/>
        </w:rPr>
        <w:t xml:space="preserve">(2011). </w:t>
      </w:r>
      <w:r w:rsidRPr="00055B04">
        <w:rPr>
          <w:sz w:val="24"/>
        </w:rPr>
        <w:t xml:space="preserve">Building a </w:t>
      </w:r>
      <w:r w:rsidR="006671C5">
        <w:rPr>
          <w:sz w:val="24"/>
        </w:rPr>
        <w:t>S</w:t>
      </w:r>
      <w:r w:rsidRPr="00055B04">
        <w:rPr>
          <w:sz w:val="24"/>
        </w:rPr>
        <w:t xml:space="preserve">emantic </w:t>
      </w:r>
      <w:r w:rsidR="006671C5">
        <w:rPr>
          <w:sz w:val="24"/>
        </w:rPr>
        <w:t>K</w:t>
      </w:r>
      <w:r w:rsidRPr="00055B04">
        <w:rPr>
          <w:sz w:val="24"/>
        </w:rPr>
        <w:t>nowledge-</w:t>
      </w:r>
      <w:r w:rsidR="006671C5">
        <w:rPr>
          <w:sz w:val="24"/>
        </w:rPr>
        <w:t>B</w:t>
      </w:r>
      <w:r w:rsidRPr="00055B04">
        <w:rPr>
          <w:sz w:val="24"/>
        </w:rPr>
        <w:t xml:space="preserve">ase for </w:t>
      </w:r>
      <w:r w:rsidR="006671C5">
        <w:rPr>
          <w:sz w:val="24"/>
        </w:rPr>
        <w:t>P</w:t>
      </w:r>
      <w:r w:rsidRPr="00055B04">
        <w:rPr>
          <w:sz w:val="24"/>
        </w:rPr>
        <w:t xml:space="preserve">ainting </w:t>
      </w:r>
      <w:r w:rsidR="006671C5">
        <w:rPr>
          <w:sz w:val="24"/>
        </w:rPr>
        <w:t>C</w:t>
      </w:r>
      <w:r w:rsidRPr="00055B04">
        <w:rPr>
          <w:sz w:val="24"/>
        </w:rPr>
        <w:t xml:space="preserve">onservators. In </w:t>
      </w:r>
      <w:r w:rsidRPr="00BF5368">
        <w:rPr>
          <w:i/>
          <w:sz w:val="24"/>
        </w:rPr>
        <w:t>2011 IEEE 7th International Conference on</w:t>
      </w:r>
      <w:r w:rsidR="006671C5" w:rsidRPr="00BF5368">
        <w:rPr>
          <w:i/>
          <w:sz w:val="24"/>
        </w:rPr>
        <w:t xml:space="preserve"> </w:t>
      </w:r>
      <w:r w:rsidR="006671C5" w:rsidRPr="00BF5368">
        <w:rPr>
          <w:i/>
          <w:sz w:val="24"/>
        </w:rPr>
        <w:t>e-Science</w:t>
      </w:r>
      <w:r w:rsidRPr="00055B04">
        <w:rPr>
          <w:sz w:val="24"/>
        </w:rPr>
        <w:t xml:space="preserve">. IEEE, </w:t>
      </w:r>
      <w:r w:rsidR="006671C5">
        <w:rPr>
          <w:sz w:val="24"/>
        </w:rPr>
        <w:t>p</w:t>
      </w:r>
      <w:r w:rsidRPr="00055B04">
        <w:rPr>
          <w:sz w:val="24"/>
        </w:rPr>
        <w:t>p. 173</w:t>
      </w:r>
      <w:r w:rsidR="006671C5">
        <w:rPr>
          <w:sz w:val="24"/>
        </w:rPr>
        <w:t>–</w:t>
      </w:r>
      <w:r w:rsidRPr="00055B04">
        <w:rPr>
          <w:sz w:val="24"/>
        </w:rPr>
        <w:t>80.</w:t>
      </w:r>
    </w:p>
    <w:p w:rsidR="00E9699D" w:rsidRPr="00055B04" w:rsidRDefault="00E9699D" w:rsidP="00BF5368">
      <w:pPr>
        <w:jc w:val="left"/>
        <w:rPr>
          <w:sz w:val="24"/>
        </w:rPr>
      </w:pPr>
      <w:r w:rsidRPr="00BF5368">
        <w:rPr>
          <w:b/>
          <w:sz w:val="24"/>
        </w:rPr>
        <w:t>Odat, S., Groza, T. and Hunter, J.</w:t>
      </w:r>
      <w:r w:rsidRPr="00055B04">
        <w:rPr>
          <w:sz w:val="24"/>
        </w:rPr>
        <w:t xml:space="preserve"> </w:t>
      </w:r>
      <w:r w:rsidR="006671C5">
        <w:rPr>
          <w:sz w:val="24"/>
        </w:rPr>
        <w:t xml:space="preserve">(2014). </w:t>
      </w:r>
      <w:r w:rsidRPr="00055B04">
        <w:rPr>
          <w:sz w:val="24"/>
        </w:rPr>
        <w:t xml:space="preserve">Extracting </w:t>
      </w:r>
      <w:r w:rsidR="006671C5">
        <w:rPr>
          <w:sz w:val="24"/>
        </w:rPr>
        <w:t>S</w:t>
      </w:r>
      <w:r w:rsidRPr="00055B04">
        <w:rPr>
          <w:sz w:val="24"/>
        </w:rPr>
        <w:t xml:space="preserve">tructured </w:t>
      </w:r>
      <w:r w:rsidR="006671C5">
        <w:rPr>
          <w:sz w:val="24"/>
        </w:rPr>
        <w:t>D</w:t>
      </w:r>
      <w:r w:rsidRPr="00055B04">
        <w:rPr>
          <w:sz w:val="24"/>
        </w:rPr>
        <w:t xml:space="preserve">ata from </w:t>
      </w:r>
      <w:r w:rsidR="006671C5">
        <w:rPr>
          <w:sz w:val="24"/>
        </w:rPr>
        <w:t>P</w:t>
      </w:r>
      <w:r w:rsidRPr="00055B04">
        <w:rPr>
          <w:sz w:val="24"/>
        </w:rPr>
        <w:t xml:space="preserve">ublications in the Art Conservation Domain. </w:t>
      </w:r>
      <w:r w:rsidRPr="00BF5368">
        <w:rPr>
          <w:i/>
          <w:sz w:val="24"/>
        </w:rPr>
        <w:t>Literary and Linguistic Computing</w:t>
      </w:r>
      <w:r w:rsidR="007F7AAB">
        <w:rPr>
          <w:color w:val="000000"/>
          <w:sz w:val="24"/>
          <w:szCs w:val="18"/>
          <w:shd w:val="clear" w:color="auto" w:fill="FFFFFF"/>
        </w:rPr>
        <w:t xml:space="preserve">, </w:t>
      </w:r>
      <w:r w:rsidR="007F7AAB" w:rsidRPr="0090046E">
        <w:rPr>
          <w:color w:val="000000"/>
          <w:sz w:val="24"/>
          <w:szCs w:val="18"/>
          <w:shd w:val="clear" w:color="auto" w:fill="FFFFFF"/>
        </w:rPr>
        <w:t>doi:</w:t>
      </w:r>
      <w:r w:rsidR="007F7AAB" w:rsidRPr="0090046E">
        <w:rPr>
          <w:rStyle w:val="citationdoi"/>
          <w:color w:val="000000"/>
          <w:sz w:val="24"/>
          <w:szCs w:val="18"/>
          <w:bdr w:val="none" w:sz="0" w:space="0" w:color="auto" w:frame="1"/>
          <w:shd w:val="clear" w:color="auto" w:fill="FFFFFF"/>
        </w:rPr>
        <w:t>10.1093/llc/fqu002</w:t>
      </w:r>
      <w:r w:rsidR="007F7AAB">
        <w:rPr>
          <w:rStyle w:val="citationdoi"/>
          <w:color w:val="000000"/>
          <w:sz w:val="24"/>
          <w:szCs w:val="18"/>
          <w:bdr w:val="none" w:sz="0" w:space="0" w:color="auto" w:frame="1"/>
          <w:shd w:val="clear" w:color="auto" w:fill="FFFFFF"/>
        </w:rPr>
        <w:t>.</w:t>
      </w:r>
    </w:p>
    <w:p w:rsidR="00CF5233" w:rsidRPr="00055B04" w:rsidRDefault="00CF5233" w:rsidP="00BF5368">
      <w:pPr>
        <w:spacing w:before="120" w:line="276" w:lineRule="auto"/>
        <w:jc w:val="left"/>
        <w:rPr>
          <w:sz w:val="24"/>
        </w:rPr>
      </w:pPr>
    </w:p>
    <w:sectPr w:rsidR="00CF5233" w:rsidRPr="0005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531" w:rsidRDefault="00B66531" w:rsidP="00CF5233">
      <w:r>
        <w:separator/>
      </w:r>
    </w:p>
  </w:endnote>
  <w:endnote w:type="continuationSeparator" w:id="0">
    <w:p w:rsidR="00B66531" w:rsidRDefault="00B66531" w:rsidP="00CF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531" w:rsidRDefault="00B66531" w:rsidP="00CF5233">
      <w:r>
        <w:separator/>
      </w:r>
    </w:p>
  </w:footnote>
  <w:footnote w:type="continuationSeparator" w:id="0">
    <w:p w:rsidR="00B66531" w:rsidRDefault="00B66531" w:rsidP="00CF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2B3"/>
    <w:multiLevelType w:val="hybridMultilevel"/>
    <w:tmpl w:val="1AE89822"/>
    <w:lvl w:ilvl="0" w:tplc="F4D67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3343"/>
    <w:multiLevelType w:val="hybridMultilevel"/>
    <w:tmpl w:val="891EE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3E1F"/>
    <w:multiLevelType w:val="hybridMultilevel"/>
    <w:tmpl w:val="6808681A"/>
    <w:lvl w:ilvl="0" w:tplc="F4D67DC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382CC3"/>
    <w:multiLevelType w:val="hybridMultilevel"/>
    <w:tmpl w:val="C2EC4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ED"/>
    <w:rsid w:val="00055B04"/>
    <w:rsid w:val="00063E33"/>
    <w:rsid w:val="000716E7"/>
    <w:rsid w:val="000A7EC6"/>
    <w:rsid w:val="000B1604"/>
    <w:rsid w:val="000D2A38"/>
    <w:rsid w:val="0015733C"/>
    <w:rsid w:val="0018737D"/>
    <w:rsid w:val="001954F1"/>
    <w:rsid w:val="001D2125"/>
    <w:rsid w:val="001F610C"/>
    <w:rsid w:val="0023631A"/>
    <w:rsid w:val="00296E3B"/>
    <w:rsid w:val="002A5E0D"/>
    <w:rsid w:val="003711D6"/>
    <w:rsid w:val="00400780"/>
    <w:rsid w:val="00485C86"/>
    <w:rsid w:val="004944A9"/>
    <w:rsid w:val="004F61ED"/>
    <w:rsid w:val="00504193"/>
    <w:rsid w:val="005206CF"/>
    <w:rsid w:val="00522EE9"/>
    <w:rsid w:val="005327E5"/>
    <w:rsid w:val="00585312"/>
    <w:rsid w:val="005E6CB5"/>
    <w:rsid w:val="006671C5"/>
    <w:rsid w:val="00674462"/>
    <w:rsid w:val="00743E61"/>
    <w:rsid w:val="00760ED2"/>
    <w:rsid w:val="007656F1"/>
    <w:rsid w:val="007A463B"/>
    <w:rsid w:val="007F7AAB"/>
    <w:rsid w:val="00863DFF"/>
    <w:rsid w:val="00A211D9"/>
    <w:rsid w:val="00A7598F"/>
    <w:rsid w:val="00AA10EF"/>
    <w:rsid w:val="00B66531"/>
    <w:rsid w:val="00B87501"/>
    <w:rsid w:val="00BB6B1D"/>
    <w:rsid w:val="00BF5368"/>
    <w:rsid w:val="00C043BC"/>
    <w:rsid w:val="00C3556C"/>
    <w:rsid w:val="00C35F96"/>
    <w:rsid w:val="00C72E14"/>
    <w:rsid w:val="00CB4E9E"/>
    <w:rsid w:val="00CC1D9D"/>
    <w:rsid w:val="00CF5233"/>
    <w:rsid w:val="00D4633C"/>
    <w:rsid w:val="00D833F3"/>
    <w:rsid w:val="00E0062F"/>
    <w:rsid w:val="00E83BB9"/>
    <w:rsid w:val="00E9699D"/>
    <w:rsid w:val="00E96EBE"/>
    <w:rsid w:val="00F002CF"/>
    <w:rsid w:val="00F341A6"/>
    <w:rsid w:val="00F62038"/>
    <w:rsid w:val="00FD03F4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655F32-CF89-4C7E-9FE7-E93DC071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1E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F523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23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F523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52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2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23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A46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BB9"/>
    <w:rPr>
      <w:color w:val="800080" w:themeColor="followedHyperlink"/>
      <w:u w:val="single"/>
    </w:rPr>
  </w:style>
  <w:style w:type="character" w:customStyle="1" w:styleId="citationdoi">
    <w:name w:val="citation_doi"/>
    <w:basedOn w:val="DefaultParagraphFont"/>
    <w:rsid w:val="007F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EE4A1-CC8B-49A9-9CE0-6BAB8742A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Bob2</cp:lastModifiedBy>
  <cp:revision>2</cp:revision>
  <dcterms:created xsi:type="dcterms:W3CDTF">2015-05-04T15:05:00Z</dcterms:created>
  <dcterms:modified xsi:type="dcterms:W3CDTF">2015-05-04T15:05:00Z</dcterms:modified>
</cp:coreProperties>
</file>