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DB" w:rsidRPr="003E4C1D" w:rsidRDefault="006B5D7C" w:rsidP="009304D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LEMOS MORAIS — Data aesthetics</w:t>
      </w:r>
    </w:p>
    <w:p w:rsidR="006B5D7C" w:rsidRPr="003E4C1D" w:rsidRDefault="006B5D7C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</w:rPr>
        <w:t>&lt;0 figures&gt;</w:t>
      </w:r>
    </w:p>
    <w:p w:rsidR="006B5D7C" w:rsidRPr="006B5D7C" w:rsidRDefault="006B5D7C" w:rsidP="009304DB">
      <w:pPr>
        <w:spacing w:line="360" w:lineRule="auto"/>
        <w:rPr>
          <w:rFonts w:ascii="Times New Roman" w:hAnsi="Times New Roman" w:cs="Times New Roman"/>
          <w:b/>
        </w:rPr>
      </w:pP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  <w:b/>
        </w:rPr>
      </w:pPr>
      <w:r w:rsidRPr="006B5D7C">
        <w:rPr>
          <w:rFonts w:ascii="Times New Roman" w:hAnsi="Times New Roman" w:cs="Times New Roman"/>
          <w:b/>
        </w:rPr>
        <w:t xml:space="preserve">Data </w:t>
      </w:r>
      <w:r w:rsidR="006B5D7C">
        <w:rPr>
          <w:rFonts w:ascii="Times New Roman" w:hAnsi="Times New Roman" w:cs="Times New Roman"/>
          <w:b/>
        </w:rPr>
        <w:t>A</w:t>
      </w:r>
      <w:r w:rsidRPr="006B5D7C">
        <w:rPr>
          <w:rFonts w:ascii="Times New Roman" w:hAnsi="Times New Roman" w:cs="Times New Roman"/>
          <w:b/>
        </w:rPr>
        <w:t xml:space="preserve">esthetics, </w:t>
      </w:r>
      <w:r w:rsidR="006B5D7C">
        <w:rPr>
          <w:rFonts w:ascii="Times New Roman" w:hAnsi="Times New Roman" w:cs="Times New Roman"/>
          <w:b/>
        </w:rPr>
        <w:t>O</w:t>
      </w:r>
      <w:r w:rsidRPr="006B5D7C">
        <w:rPr>
          <w:rFonts w:ascii="Times New Roman" w:hAnsi="Times New Roman" w:cs="Times New Roman"/>
          <w:b/>
        </w:rPr>
        <w:t xml:space="preserve">ld and </w:t>
      </w:r>
      <w:r w:rsidR="006B5D7C">
        <w:rPr>
          <w:rFonts w:ascii="Times New Roman" w:hAnsi="Times New Roman" w:cs="Times New Roman"/>
          <w:b/>
        </w:rPr>
        <w:t>N</w:t>
      </w:r>
      <w:r w:rsidRPr="006B5D7C">
        <w:rPr>
          <w:rFonts w:ascii="Times New Roman" w:hAnsi="Times New Roman" w:cs="Times New Roman"/>
          <w:b/>
        </w:rPr>
        <w:t>ew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6B5D7C">
        <w:rPr>
          <w:rFonts w:ascii="Times New Roman" w:hAnsi="Times New Roman" w:cs="Times New Roman"/>
        </w:rPr>
        <w:t>Renata Lemos Morais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</w:p>
    <w:p w:rsidR="006B5D7C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6B5D7C">
        <w:rPr>
          <w:rFonts w:ascii="Times New Roman" w:hAnsi="Times New Roman" w:cs="Times New Roman"/>
        </w:rPr>
        <w:t xml:space="preserve">Two years ago, a New Aesthetic was announced by Bruce Sterling </w:t>
      </w:r>
      <w:r w:rsidR="006B5D7C">
        <w:rPr>
          <w:rFonts w:ascii="Times New Roman" w:hAnsi="Times New Roman" w:cs="Times New Roman"/>
        </w:rPr>
        <w:t>i</w:t>
      </w:r>
      <w:r w:rsidRPr="006B5D7C">
        <w:rPr>
          <w:rFonts w:ascii="Times New Roman" w:hAnsi="Times New Roman" w:cs="Times New Roman"/>
        </w:rPr>
        <w:t xml:space="preserve">n a widely circulated and debated text published on </w:t>
      </w:r>
      <w:r w:rsidRPr="003E4C1D">
        <w:rPr>
          <w:rFonts w:ascii="Times New Roman" w:hAnsi="Times New Roman" w:cs="Times New Roman"/>
          <w:i/>
        </w:rPr>
        <w:t>Wired</w:t>
      </w:r>
      <w:r w:rsidRPr="006B5D7C">
        <w:rPr>
          <w:rFonts w:ascii="Times New Roman" w:hAnsi="Times New Roman" w:cs="Times New Roman"/>
        </w:rPr>
        <w:t xml:space="preserve"> magazine: </w:t>
      </w:r>
      <w:r w:rsidR="006B5D7C">
        <w:rPr>
          <w:rFonts w:ascii="Times New Roman" w:hAnsi="Times New Roman" w:cs="Times New Roman"/>
        </w:rPr>
        <w:t>‘</w:t>
      </w:r>
      <w:r w:rsidRPr="003E4C1D">
        <w:rPr>
          <w:rFonts w:ascii="Times New Roman" w:hAnsi="Times New Roman" w:cs="Times New Roman"/>
        </w:rPr>
        <w:t>An Essay on the New Aesthetic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. This aesthetic is, for him, as significant as any of our past avant-gardes: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>the New Aesthetic is one thing among a kind: it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>s like early photography for French Impressionists, or like silent film for Russian Constructivists, or like abstract-dynamics for Italian Futurists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 (Sterling</w:t>
      </w:r>
      <w:r w:rsidR="006B5D7C">
        <w:rPr>
          <w:rFonts w:ascii="Times New Roman" w:hAnsi="Times New Roman" w:cs="Times New Roman"/>
        </w:rPr>
        <w:t>,</w:t>
      </w:r>
      <w:r w:rsidRPr="006B5D7C">
        <w:rPr>
          <w:rFonts w:ascii="Times New Roman" w:hAnsi="Times New Roman" w:cs="Times New Roman"/>
        </w:rPr>
        <w:t xml:space="preserve"> 2012). New Aesthetics</w:t>
      </w:r>
      <w:r w:rsidRPr="006B5D7C">
        <w:rPr>
          <w:rFonts w:ascii="Times New Roman" w:hAnsi="Times New Roman" w:cs="Times New Roman"/>
          <w:shd w:val="clear" w:color="auto" w:fill="FFFFFF"/>
          <w:lang w:val="pt-BR"/>
        </w:rPr>
        <w:t xml:space="preserve"> can also be understood as a </w:t>
      </w:r>
      <w:r w:rsidR="006B5D7C">
        <w:rPr>
          <w:rFonts w:ascii="Times New Roman" w:hAnsi="Times New Roman" w:cs="Times New Roman"/>
          <w:shd w:val="clear" w:color="auto" w:fill="FFFFFF"/>
          <w:lang w:val="pt-BR"/>
        </w:rPr>
        <w:t>‘</w:t>
      </w:r>
      <w:r w:rsidRPr="006B5D7C">
        <w:rPr>
          <w:rFonts w:ascii="Times New Roman" w:hAnsi="Times New Roman" w:cs="Times New Roman"/>
          <w:shd w:val="clear" w:color="auto" w:fill="FFFFFF"/>
          <w:lang w:val="pt-BR"/>
        </w:rPr>
        <w:t>collaborative attempt to draw a circle around several species of aesthetic activity—including but not limited to drone photography, ubiquitous surveillance, glitch imagery, streetview photography, 8-bit net nostalgia</w:t>
      </w:r>
      <w:r w:rsidR="006B5D7C">
        <w:rPr>
          <w:rFonts w:ascii="Times New Roman" w:hAnsi="Times New Roman" w:cs="Times New Roman"/>
          <w:shd w:val="clear" w:color="auto" w:fill="FFFFFF"/>
          <w:lang w:val="pt-BR"/>
        </w:rPr>
        <w:t>’</w:t>
      </w:r>
      <w:r w:rsidRPr="006B5D7C">
        <w:rPr>
          <w:rFonts w:ascii="Times New Roman" w:hAnsi="Times New Roman" w:cs="Times New Roman"/>
          <w:shd w:val="clear" w:color="auto" w:fill="FFFFFF"/>
          <w:lang w:val="pt-BR"/>
        </w:rPr>
        <w:t xml:space="preserve"> (Battles</w:t>
      </w:r>
      <w:r w:rsidR="006B5D7C">
        <w:rPr>
          <w:rFonts w:ascii="Times New Roman" w:hAnsi="Times New Roman" w:cs="Times New Roman"/>
          <w:shd w:val="clear" w:color="auto" w:fill="FFFFFF"/>
          <w:lang w:val="pt-BR"/>
        </w:rPr>
        <w:t>,</w:t>
      </w:r>
      <w:r w:rsidRPr="006B5D7C">
        <w:rPr>
          <w:rFonts w:ascii="Times New Roman" w:hAnsi="Times New Roman" w:cs="Times New Roman"/>
          <w:shd w:val="clear" w:color="auto" w:fill="FFFFFF"/>
          <w:lang w:val="pt-BR"/>
        </w:rPr>
        <w:t xml:space="preserve"> 2008). </w:t>
      </w:r>
      <w:r w:rsidRPr="006B5D7C">
        <w:rPr>
          <w:rFonts w:ascii="Times New Roman" w:hAnsi="Times New Roman" w:cs="Times New Roman"/>
        </w:rPr>
        <w:t xml:space="preserve">It is concerned with documenting a contemporary phenomenon of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>eruption of the digital into the physical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 (Sterling, 2012). A new language and sensibility ha</w:t>
      </w:r>
      <w:r w:rsidR="006B5D7C">
        <w:rPr>
          <w:rFonts w:ascii="Times New Roman" w:hAnsi="Times New Roman" w:cs="Times New Roman"/>
        </w:rPr>
        <w:t>ve</w:t>
      </w:r>
      <w:r w:rsidRPr="006B5D7C">
        <w:rPr>
          <w:rFonts w:ascii="Times New Roman" w:hAnsi="Times New Roman" w:cs="Times New Roman"/>
        </w:rPr>
        <w:t xml:space="preserve"> been identified in the intersection of humans and their machines, one that is related directly to the visual coding and translation of machinic interferences, glitches</w:t>
      </w:r>
      <w:r w:rsidR="006B5D7C">
        <w:rPr>
          <w:rFonts w:ascii="Times New Roman" w:hAnsi="Times New Roman" w:cs="Times New Roman"/>
        </w:rPr>
        <w:t>,</w:t>
      </w:r>
      <w:r w:rsidRPr="006B5D7C">
        <w:rPr>
          <w:rFonts w:ascii="Times New Roman" w:hAnsi="Times New Roman" w:cs="Times New Roman"/>
        </w:rPr>
        <w:t xml:space="preserve"> and noise to the augmented field of human perception</w:t>
      </w:r>
      <w:r w:rsidR="006B5D7C">
        <w:rPr>
          <w:rFonts w:ascii="Times New Roman" w:hAnsi="Times New Roman" w:cs="Times New Roman"/>
        </w:rPr>
        <w:t>,</w:t>
      </w:r>
      <w:r w:rsidRPr="006B5D7C">
        <w:rPr>
          <w:rFonts w:ascii="Times New Roman" w:hAnsi="Times New Roman" w:cs="Times New Roman"/>
        </w:rPr>
        <w:t xml:space="preserve"> which is enabled by pervasive digital media. </w:t>
      </w:r>
    </w:p>
    <w:p w:rsidR="006B5D7C" w:rsidRDefault="009304DB" w:rsidP="003E4C1D">
      <w:pPr>
        <w:spacing w:line="360" w:lineRule="auto"/>
        <w:ind w:firstLine="720"/>
        <w:rPr>
          <w:rFonts w:ascii="Times New Roman" w:hAnsi="Times New Roman" w:cs="Times New Roman"/>
        </w:rPr>
      </w:pPr>
      <w:r w:rsidRPr="006B5D7C">
        <w:rPr>
          <w:rFonts w:ascii="Times New Roman" w:hAnsi="Times New Roman" w:cs="Times New Roman"/>
        </w:rPr>
        <w:t>As in the case of any avant-garde, the New Aesthetic was first identified and presented by a cluster of young artists</w:t>
      </w:r>
      <w:r w:rsidR="006B5D7C">
        <w:rPr>
          <w:rFonts w:ascii="Times New Roman" w:hAnsi="Times New Roman" w:cs="Times New Roman"/>
        </w:rPr>
        <w:t>,</w:t>
      </w:r>
      <w:r w:rsidRPr="006B5D7C">
        <w:rPr>
          <w:rFonts w:ascii="Times New Roman" w:hAnsi="Times New Roman" w:cs="Times New Roman"/>
        </w:rPr>
        <w:t xml:space="preserve"> led by James Bridle, a </w:t>
      </w:r>
      <w:r w:rsidR="006B5D7C">
        <w:rPr>
          <w:rFonts w:ascii="Times New Roman" w:hAnsi="Times New Roman" w:cs="Times New Roman"/>
        </w:rPr>
        <w:t>B</w:t>
      </w:r>
      <w:r w:rsidRPr="006B5D7C">
        <w:rPr>
          <w:rFonts w:ascii="Times New Roman" w:hAnsi="Times New Roman" w:cs="Times New Roman"/>
        </w:rPr>
        <w:t xml:space="preserve">ritish computer programmer and designer who coined the term and developed the concept by doing content curation in his Tumblr page, </w:t>
      </w:r>
      <w:r w:rsidRPr="003E4C1D">
        <w:rPr>
          <w:rFonts w:ascii="Times New Roman" w:hAnsi="Times New Roman" w:cs="Times New Roman"/>
        </w:rPr>
        <w:t>http://new-aesthetic.tumblr.com/.</w:t>
      </w:r>
      <w:r w:rsidRPr="006B5D7C">
        <w:rPr>
          <w:rFonts w:ascii="Times New Roman" w:hAnsi="Times New Roman" w:cs="Times New Roman"/>
        </w:rPr>
        <w:t xml:space="preserve"> He refuses to identify the New Aesthetic with a movement, however, stating that it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>may be considered a work, a conversation, a performance, an experiment, and a number of other things (although, please, not a movement)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 (Bridle, 2013). Despite all his efforts to refuse being labeled as the founder of an artistic current, his Tumblr page became a classic contemporary work of digital curation as an art form. It basically is a gathering point of images and information about instances in which the digital becomes physically embodied, trying to raise awareness of the physical reality of information networks, together with 3-D printed objects or sculptures reminiscent of pixelated </w:t>
      </w:r>
      <w:r w:rsidRPr="006B5D7C">
        <w:rPr>
          <w:rFonts w:ascii="Times New Roman" w:hAnsi="Times New Roman" w:cs="Times New Roman"/>
        </w:rPr>
        <w:lastRenderedPageBreak/>
        <w:t>works. The objects portrayed point toward the material embodiments of data networks</w:t>
      </w:r>
      <w:r w:rsidR="006B5D7C">
        <w:rPr>
          <w:rFonts w:ascii="Times New Roman" w:hAnsi="Times New Roman" w:cs="Times New Roman"/>
        </w:rPr>
        <w:t>, ranging</w:t>
      </w:r>
      <w:r w:rsidRPr="006B5D7C">
        <w:rPr>
          <w:rFonts w:ascii="Times New Roman" w:hAnsi="Times New Roman" w:cs="Times New Roman"/>
        </w:rPr>
        <w:t xml:space="preserve"> from satellites and drones to cellphones.</w:t>
      </w:r>
    </w:p>
    <w:p w:rsidR="006B5D7C" w:rsidRDefault="009304DB" w:rsidP="003E4C1D">
      <w:pPr>
        <w:spacing w:line="360" w:lineRule="auto"/>
        <w:ind w:firstLine="720"/>
        <w:rPr>
          <w:rFonts w:ascii="Times New Roman" w:hAnsi="Times New Roman" w:cs="Times New Roman"/>
        </w:rPr>
      </w:pPr>
      <w:r w:rsidRPr="006B5D7C">
        <w:rPr>
          <w:rFonts w:ascii="Times New Roman" w:hAnsi="Times New Roman" w:cs="Times New Roman"/>
        </w:rPr>
        <w:t>The power of observation is here more important tha</w:t>
      </w:r>
      <w:r w:rsidR="006B5D7C">
        <w:rPr>
          <w:rFonts w:ascii="Times New Roman" w:hAnsi="Times New Roman" w:cs="Times New Roman"/>
        </w:rPr>
        <w:t>n</w:t>
      </w:r>
      <w:r w:rsidRPr="006B5D7C">
        <w:rPr>
          <w:rFonts w:ascii="Times New Roman" w:hAnsi="Times New Roman" w:cs="Times New Roman"/>
        </w:rPr>
        <w:t xml:space="preserve"> the power of creation. The various technological affordances present in digital media are reshaping our relation to the material world, creating the conditions for the emergence of </w:t>
      </w:r>
      <w:r w:rsidRPr="006B5D7C">
        <w:rPr>
          <w:rFonts w:ascii="Times New Roman" w:hAnsi="Times New Roman" w:cs="Times New Roman"/>
          <w:i/>
        </w:rPr>
        <w:t>immaterial physicality</w:t>
      </w:r>
      <w:r w:rsidRPr="006B5D7C">
        <w:rPr>
          <w:rFonts w:ascii="Times New Roman" w:hAnsi="Times New Roman" w:cs="Times New Roman"/>
        </w:rPr>
        <w:t xml:space="preserve">: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 xml:space="preserve">a transfer instantiating the immaterial in a physical form, a </w:t>
      </w:r>
      <w:r w:rsidR="006B5D7C">
        <w:rPr>
          <w:rFonts w:ascii="Times New Roman" w:hAnsi="Times New Roman" w:cs="Times New Roman"/>
        </w:rPr>
        <w:t>“</w:t>
      </w:r>
      <w:r w:rsidRPr="006B5D7C">
        <w:rPr>
          <w:rFonts w:ascii="Times New Roman" w:hAnsi="Times New Roman" w:cs="Times New Roman"/>
        </w:rPr>
        <w:t>print-out</w:t>
      </w:r>
      <w:r w:rsidR="006B5D7C">
        <w:rPr>
          <w:rFonts w:ascii="Times New Roman" w:hAnsi="Times New Roman" w:cs="Times New Roman"/>
        </w:rPr>
        <w:t>”</w:t>
      </w:r>
      <w:r w:rsidRPr="006B5D7C">
        <w:rPr>
          <w:rFonts w:ascii="Times New Roman" w:hAnsi="Times New Roman" w:cs="Times New Roman"/>
        </w:rPr>
        <w:t xml:space="preserve"> whose tangibility then becomes the operative dimension in asserting the presence of an immaterial, digital, </w:t>
      </w:r>
      <w:r w:rsidR="006B5D7C">
        <w:rPr>
          <w:rFonts w:ascii="Times New Roman" w:hAnsi="Times New Roman" w:cs="Times New Roman"/>
        </w:rPr>
        <w:t>“</w:t>
      </w:r>
      <w:r w:rsidRPr="006B5D7C">
        <w:rPr>
          <w:rFonts w:ascii="Times New Roman" w:hAnsi="Times New Roman" w:cs="Times New Roman"/>
        </w:rPr>
        <w:t>information space</w:t>
      </w:r>
      <w:r w:rsidR="006B5D7C">
        <w:rPr>
          <w:rFonts w:ascii="Times New Roman" w:hAnsi="Times New Roman" w:cs="Times New Roman"/>
        </w:rPr>
        <w:t>”’</w:t>
      </w:r>
      <w:r w:rsidRPr="006B5D7C">
        <w:rPr>
          <w:rFonts w:ascii="Times New Roman" w:hAnsi="Times New Roman" w:cs="Times New Roman"/>
        </w:rPr>
        <w:t xml:space="preserve"> (Betancourt, 2013). The informational structure and logic of computational code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>leaks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 into visual/digital culture, which is then translated into sensuous matter, pregnant with immaterial physicalities. </w:t>
      </w:r>
    </w:p>
    <w:p w:rsidR="009304DB" w:rsidRPr="006B5D7C" w:rsidRDefault="006B5D7C" w:rsidP="003E4C1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304DB" w:rsidRPr="006B5D7C">
        <w:rPr>
          <w:rFonts w:ascii="Times New Roman" w:hAnsi="Times New Roman" w:cs="Times New Roman"/>
        </w:rPr>
        <w:t>henever the New Aesthetic is mentioned, particularly in reference to the work of James Bridle, we are faced with a direct engagement with the cultural and political outputs of digital networks: their noise, visual identity, clear and/or obscure applications</w:t>
      </w:r>
      <w:r>
        <w:rPr>
          <w:rFonts w:ascii="Times New Roman" w:hAnsi="Times New Roman" w:cs="Times New Roman"/>
        </w:rPr>
        <w:t>,</w:t>
      </w:r>
      <w:r w:rsidR="009304DB" w:rsidRPr="006B5D7C">
        <w:rPr>
          <w:rFonts w:ascii="Times New Roman" w:hAnsi="Times New Roman" w:cs="Times New Roman"/>
        </w:rPr>
        <w:t xml:space="preserve"> and agendas. What is artificial blends with what is natural in such an intimate way that the New Aesthetic becomes a perfect example of Donna Haraway</w:t>
      </w:r>
      <w:r>
        <w:rPr>
          <w:rFonts w:ascii="Times New Roman" w:hAnsi="Times New Roman" w:cs="Times New Roman"/>
        </w:rPr>
        <w:t>’</w:t>
      </w:r>
      <w:r w:rsidR="009304DB" w:rsidRPr="006B5D7C">
        <w:rPr>
          <w:rFonts w:ascii="Times New Roman" w:hAnsi="Times New Roman" w:cs="Times New Roman"/>
        </w:rPr>
        <w:t xml:space="preserve">s </w:t>
      </w:r>
      <w:r w:rsidR="009304DB" w:rsidRPr="006B5D7C">
        <w:rPr>
          <w:rFonts w:ascii="Times New Roman" w:hAnsi="Times New Roman" w:cs="Times New Roman"/>
          <w:i/>
        </w:rPr>
        <w:t>naturecultures</w:t>
      </w:r>
      <w:r w:rsidR="009304DB" w:rsidRPr="006B5D7C">
        <w:rPr>
          <w:rFonts w:ascii="Times New Roman" w:hAnsi="Times New Roman" w:cs="Times New Roman"/>
        </w:rPr>
        <w:t xml:space="preserve">: collective expressions created and distributed by a network of post-cyborg agents living in a world of pervasive and invisible prosthetics, in which machinic species are equivalent to the material-semiotic assemblages of biological bodies. If </w:t>
      </w:r>
      <w:r>
        <w:rPr>
          <w:rFonts w:ascii="Times New Roman" w:hAnsi="Times New Roman" w:cs="Times New Roman"/>
        </w:rPr>
        <w:t>‘</w:t>
      </w:r>
      <w:r w:rsidR="009304DB" w:rsidRPr="006B5D7C">
        <w:rPr>
          <w:rFonts w:ascii="Times New Roman" w:hAnsi="Times New Roman" w:cs="Times New Roman"/>
        </w:rPr>
        <w:t>the machinic and the textual are internal to the organic and vice versa in irreversible ways</w:t>
      </w:r>
      <w:r>
        <w:rPr>
          <w:rFonts w:ascii="Times New Roman" w:hAnsi="Times New Roman" w:cs="Times New Roman"/>
        </w:rPr>
        <w:t>’</w:t>
      </w:r>
      <w:r w:rsidR="009304DB" w:rsidRPr="006B5D7C">
        <w:rPr>
          <w:rFonts w:ascii="Times New Roman" w:hAnsi="Times New Roman" w:cs="Times New Roman"/>
        </w:rPr>
        <w:t xml:space="preserve"> (Haraway</w:t>
      </w:r>
      <w:r>
        <w:rPr>
          <w:rFonts w:ascii="Times New Roman" w:hAnsi="Times New Roman" w:cs="Times New Roman"/>
        </w:rPr>
        <w:t>,</w:t>
      </w:r>
      <w:r w:rsidR="009304DB" w:rsidRPr="006B5D7C">
        <w:rPr>
          <w:rFonts w:ascii="Times New Roman" w:hAnsi="Times New Roman" w:cs="Times New Roman"/>
        </w:rPr>
        <w:t xml:space="preserve"> </w:t>
      </w:r>
      <w:r w:rsidR="00FF185A">
        <w:rPr>
          <w:rFonts w:ascii="Times New Roman" w:hAnsi="Times New Roman" w:cs="Times New Roman"/>
        </w:rPr>
        <w:t xml:space="preserve">2003, </w:t>
      </w:r>
      <w:r w:rsidR="009304DB" w:rsidRPr="006B5D7C">
        <w:rPr>
          <w:rFonts w:ascii="Times New Roman" w:hAnsi="Times New Roman" w:cs="Times New Roman"/>
        </w:rPr>
        <w:t xml:space="preserve">15), then so is their aesthetic. The work of James Bridle is iconic in regards </w:t>
      </w:r>
      <w:r>
        <w:rPr>
          <w:rFonts w:ascii="Times New Roman" w:hAnsi="Times New Roman" w:cs="Times New Roman"/>
        </w:rPr>
        <w:t xml:space="preserve">to </w:t>
      </w:r>
      <w:r w:rsidR="009304DB" w:rsidRPr="006B5D7C">
        <w:rPr>
          <w:rFonts w:ascii="Times New Roman" w:hAnsi="Times New Roman" w:cs="Times New Roman"/>
        </w:rPr>
        <w:t xml:space="preserve">a New Aesthetic that represents the technological properties of the digital by accumulating virtual traces of material networks. By documenting and curating various examples of immaterial physicalities and bringing the </w:t>
      </w:r>
      <w:r>
        <w:rPr>
          <w:rFonts w:ascii="Times New Roman" w:hAnsi="Times New Roman" w:cs="Times New Roman"/>
        </w:rPr>
        <w:t>‘</w:t>
      </w:r>
      <w:r w:rsidR="009304DB" w:rsidRPr="006B5D7C">
        <w:rPr>
          <w:rFonts w:ascii="Times New Roman" w:hAnsi="Times New Roman" w:cs="Times New Roman"/>
        </w:rPr>
        <w:t>digital</w:t>
      </w:r>
      <w:r>
        <w:rPr>
          <w:rFonts w:ascii="Times New Roman" w:hAnsi="Times New Roman" w:cs="Times New Roman"/>
        </w:rPr>
        <w:t>’</w:t>
      </w:r>
      <w:r w:rsidR="009304DB" w:rsidRPr="006B5D7C">
        <w:rPr>
          <w:rFonts w:ascii="Times New Roman" w:hAnsi="Times New Roman" w:cs="Times New Roman"/>
        </w:rPr>
        <w:t xml:space="preserve"> into the </w:t>
      </w:r>
      <w:r>
        <w:rPr>
          <w:rFonts w:ascii="Times New Roman" w:hAnsi="Times New Roman" w:cs="Times New Roman"/>
        </w:rPr>
        <w:t>‘</w:t>
      </w:r>
      <w:r w:rsidR="009304DB" w:rsidRPr="006B5D7C">
        <w:rPr>
          <w:rFonts w:ascii="Times New Roman" w:hAnsi="Times New Roman" w:cs="Times New Roman"/>
        </w:rPr>
        <w:t>physical</w:t>
      </w:r>
      <w:r>
        <w:rPr>
          <w:rFonts w:ascii="Times New Roman" w:hAnsi="Times New Roman" w:cs="Times New Roman"/>
        </w:rPr>
        <w:t>’</w:t>
      </w:r>
      <w:r w:rsidR="009304DB" w:rsidRPr="006B5D7C">
        <w:rPr>
          <w:rFonts w:ascii="Times New Roman" w:hAnsi="Times New Roman" w:cs="Times New Roman"/>
        </w:rPr>
        <w:t xml:space="preserve"> in an automated and mechanic way, data aesthetics shape reality according to the fluid possibilities of the virtual, organically and meticulously. This article examines the inner</w:t>
      </w:r>
      <w:r>
        <w:rPr>
          <w:rFonts w:ascii="Times New Roman" w:hAnsi="Times New Roman" w:cs="Times New Roman"/>
        </w:rPr>
        <w:t xml:space="preserve"> </w:t>
      </w:r>
      <w:r w:rsidR="009304DB" w:rsidRPr="006B5D7C">
        <w:rPr>
          <w:rFonts w:ascii="Times New Roman" w:hAnsi="Times New Roman" w:cs="Times New Roman"/>
        </w:rPr>
        <w:t>workings and cultural implications of data aesthetics, and the ways in which digital curation and network dynamics become tools for a critical engagement with the world, connecting us to our physical landscapes in an unprecedented way, while redefining our perception and experience of time and space.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  <w:b/>
        </w:rPr>
      </w:pPr>
      <w:r w:rsidRPr="006B5D7C">
        <w:rPr>
          <w:rFonts w:ascii="Times New Roman" w:hAnsi="Times New Roman" w:cs="Times New Roman"/>
          <w:b/>
        </w:rPr>
        <w:t>References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  <w:b/>
        </w:rPr>
        <w:lastRenderedPageBreak/>
        <w:t>Battles, M.</w:t>
      </w:r>
      <w:r w:rsidRPr="006B5D7C">
        <w:rPr>
          <w:rFonts w:ascii="Times New Roman" w:hAnsi="Times New Roman" w:cs="Times New Roman"/>
        </w:rPr>
        <w:t xml:space="preserve"> </w:t>
      </w:r>
      <w:r w:rsidR="00FF185A">
        <w:rPr>
          <w:rFonts w:ascii="Times New Roman" w:hAnsi="Times New Roman" w:cs="Times New Roman"/>
        </w:rPr>
        <w:t xml:space="preserve">(2012). </w:t>
      </w:r>
      <w:r w:rsidRPr="006B5D7C">
        <w:rPr>
          <w:rFonts w:ascii="Times New Roman" w:hAnsi="Times New Roman" w:cs="Times New Roman"/>
        </w:rPr>
        <w:t xml:space="preserve">But </w:t>
      </w:r>
      <w:r w:rsidR="00FF185A">
        <w:rPr>
          <w:rFonts w:ascii="Times New Roman" w:hAnsi="Times New Roman" w:cs="Times New Roman"/>
        </w:rPr>
        <w:t>I</w:t>
      </w:r>
      <w:r w:rsidRPr="006B5D7C">
        <w:rPr>
          <w:rFonts w:ascii="Times New Roman" w:hAnsi="Times New Roman" w:cs="Times New Roman"/>
        </w:rPr>
        <w:t xml:space="preserve">t </w:t>
      </w:r>
      <w:r w:rsidR="00FF185A">
        <w:rPr>
          <w:rFonts w:ascii="Times New Roman" w:hAnsi="Times New Roman" w:cs="Times New Roman"/>
        </w:rPr>
        <w:t>M</w:t>
      </w:r>
      <w:r w:rsidRPr="006B5D7C">
        <w:rPr>
          <w:rFonts w:ascii="Times New Roman" w:hAnsi="Times New Roman" w:cs="Times New Roman"/>
        </w:rPr>
        <w:t xml:space="preserve">oves: </w:t>
      </w:r>
      <w:r w:rsidR="00FF185A">
        <w:rPr>
          <w:rFonts w:ascii="Times New Roman" w:hAnsi="Times New Roman" w:cs="Times New Roman"/>
        </w:rPr>
        <w:t>T</w:t>
      </w:r>
      <w:r w:rsidRPr="006B5D7C">
        <w:rPr>
          <w:rFonts w:ascii="Times New Roman" w:hAnsi="Times New Roman" w:cs="Times New Roman"/>
        </w:rPr>
        <w:t xml:space="preserve">he New Aesthetic </w:t>
      </w:r>
      <w:r w:rsidR="00FF185A">
        <w:rPr>
          <w:rFonts w:ascii="Times New Roman" w:hAnsi="Times New Roman" w:cs="Times New Roman"/>
        </w:rPr>
        <w:t>and</w:t>
      </w:r>
      <w:r w:rsidRPr="006B5D7C">
        <w:rPr>
          <w:rFonts w:ascii="Times New Roman" w:hAnsi="Times New Roman" w:cs="Times New Roman"/>
        </w:rPr>
        <w:t xml:space="preserve"> </w:t>
      </w:r>
      <w:r w:rsidR="00FF185A">
        <w:rPr>
          <w:rFonts w:ascii="Times New Roman" w:hAnsi="Times New Roman" w:cs="Times New Roman"/>
        </w:rPr>
        <w:t>E</w:t>
      </w:r>
      <w:r w:rsidRPr="006B5D7C">
        <w:rPr>
          <w:rFonts w:ascii="Times New Roman" w:hAnsi="Times New Roman" w:cs="Times New Roman"/>
        </w:rPr>
        <w:t xml:space="preserve">mergent </w:t>
      </w:r>
      <w:r w:rsidR="00FF185A">
        <w:rPr>
          <w:rFonts w:ascii="Times New Roman" w:hAnsi="Times New Roman" w:cs="Times New Roman"/>
        </w:rPr>
        <w:t>V</w:t>
      </w:r>
      <w:r w:rsidRPr="006B5D7C">
        <w:rPr>
          <w:rFonts w:ascii="Times New Roman" w:hAnsi="Times New Roman" w:cs="Times New Roman"/>
        </w:rPr>
        <w:t xml:space="preserve">irtual </w:t>
      </w:r>
      <w:r w:rsidR="00FF185A">
        <w:rPr>
          <w:rFonts w:ascii="Times New Roman" w:hAnsi="Times New Roman" w:cs="Times New Roman"/>
        </w:rPr>
        <w:t>T</w:t>
      </w:r>
      <w:r w:rsidRPr="006B5D7C">
        <w:rPr>
          <w:rFonts w:ascii="Times New Roman" w:hAnsi="Times New Roman" w:cs="Times New Roman"/>
        </w:rPr>
        <w:t>aste. Metalab</w:t>
      </w:r>
      <w:r w:rsidR="00FF185A">
        <w:rPr>
          <w:rFonts w:ascii="Times New Roman" w:hAnsi="Times New Roman" w:cs="Times New Roman"/>
        </w:rPr>
        <w:t xml:space="preserve">, 14 April, </w:t>
      </w:r>
      <w:r w:rsidRPr="006B5D7C">
        <w:rPr>
          <w:rFonts w:ascii="Times New Roman" w:hAnsi="Times New Roman" w:cs="Times New Roman"/>
        </w:rPr>
        <w:t>http://metalab.harvard.edu/2012/04/but-it-moves-the-new-aesthetic-emergent-virtual-taste/</w:t>
      </w:r>
      <w:r w:rsidR="00FF185A">
        <w:rPr>
          <w:rFonts w:ascii="Times New Roman" w:hAnsi="Times New Roman" w:cs="Times New Roman"/>
        </w:rPr>
        <w:t>.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  <w:b/>
        </w:rPr>
        <w:t>Betancourt, M.</w:t>
      </w:r>
      <w:r w:rsidRPr="006B5D7C">
        <w:rPr>
          <w:rFonts w:ascii="Times New Roman" w:hAnsi="Times New Roman" w:cs="Times New Roman"/>
        </w:rPr>
        <w:t> </w:t>
      </w:r>
      <w:r w:rsidR="00FF185A">
        <w:rPr>
          <w:rFonts w:ascii="Times New Roman" w:hAnsi="Times New Roman" w:cs="Times New Roman"/>
        </w:rPr>
        <w:t xml:space="preserve">(2013). </w:t>
      </w:r>
      <w:r w:rsidRPr="006B5D7C">
        <w:rPr>
          <w:rFonts w:ascii="Times New Roman" w:hAnsi="Times New Roman" w:cs="Times New Roman"/>
        </w:rPr>
        <w:t xml:space="preserve">Automated Labor: The </w:t>
      </w:r>
      <w:r w:rsidR="006B5D7C">
        <w:rPr>
          <w:rFonts w:ascii="Times New Roman" w:hAnsi="Times New Roman" w:cs="Times New Roman"/>
        </w:rPr>
        <w:t>‘</w:t>
      </w:r>
      <w:r w:rsidRPr="006B5D7C">
        <w:rPr>
          <w:rFonts w:ascii="Times New Roman" w:hAnsi="Times New Roman" w:cs="Times New Roman"/>
        </w:rPr>
        <w:t>New Aesthetic</w:t>
      </w:r>
      <w:r w:rsidR="006B5D7C">
        <w:rPr>
          <w:rFonts w:ascii="Times New Roman" w:hAnsi="Times New Roman" w:cs="Times New Roman"/>
        </w:rPr>
        <w:t>’</w:t>
      </w:r>
      <w:r w:rsidRPr="006B5D7C">
        <w:rPr>
          <w:rFonts w:ascii="Times New Roman" w:hAnsi="Times New Roman" w:cs="Times New Roman"/>
        </w:rPr>
        <w:t xml:space="preserve"> and Immaterial Physicality. CTheory.</w:t>
      </w:r>
      <w:r w:rsidR="00FF185A">
        <w:rPr>
          <w:rFonts w:ascii="Times New Roman" w:hAnsi="Times New Roman" w:cs="Times New Roman"/>
        </w:rPr>
        <w:t xml:space="preserve"> </w:t>
      </w:r>
      <w:r w:rsidRPr="006B5D7C">
        <w:rPr>
          <w:rFonts w:ascii="Times New Roman" w:hAnsi="Times New Roman" w:cs="Times New Roman"/>
        </w:rPr>
        <w:t xml:space="preserve">Theory </w:t>
      </w:r>
      <w:r w:rsidR="00FF185A">
        <w:rPr>
          <w:rFonts w:ascii="Times New Roman" w:hAnsi="Times New Roman" w:cs="Times New Roman"/>
        </w:rPr>
        <w:t>b</w:t>
      </w:r>
      <w:r w:rsidRPr="006B5D7C">
        <w:rPr>
          <w:rFonts w:ascii="Times New Roman" w:hAnsi="Times New Roman" w:cs="Times New Roman"/>
        </w:rPr>
        <w:t>eyond the Codes: tbc048, May, http://www.ctheory.net/articles.aspx?id=717</w:t>
      </w:r>
      <w:r w:rsidR="00FF185A">
        <w:rPr>
          <w:rFonts w:ascii="Times New Roman" w:hAnsi="Times New Roman" w:cs="Times New Roman"/>
        </w:rPr>
        <w:t>.</w:t>
      </w:r>
    </w:p>
    <w:p w:rsidR="009304DB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  <w:b/>
        </w:rPr>
        <w:t>Bridle, J.</w:t>
      </w:r>
      <w:r w:rsidRPr="006B5D7C">
        <w:rPr>
          <w:rFonts w:ascii="Times New Roman" w:hAnsi="Times New Roman" w:cs="Times New Roman"/>
        </w:rPr>
        <w:t xml:space="preserve"> </w:t>
      </w:r>
      <w:r w:rsidR="00FF185A">
        <w:rPr>
          <w:rFonts w:ascii="Times New Roman" w:hAnsi="Times New Roman" w:cs="Times New Roman"/>
        </w:rPr>
        <w:t xml:space="preserve">(2013). </w:t>
      </w:r>
      <w:r w:rsidRPr="006B5D7C">
        <w:rPr>
          <w:rFonts w:ascii="Times New Roman" w:hAnsi="Times New Roman" w:cs="Times New Roman"/>
        </w:rPr>
        <w:t>The New Aesthetics and Its Politics. Booktwo.org</w:t>
      </w:r>
      <w:r w:rsidR="00FF185A">
        <w:rPr>
          <w:rFonts w:ascii="Times New Roman" w:hAnsi="Times New Roman" w:cs="Times New Roman"/>
        </w:rPr>
        <w:t xml:space="preserve">, 12 June, </w:t>
      </w:r>
      <w:r w:rsidRPr="006B5D7C">
        <w:rPr>
          <w:rFonts w:ascii="Times New Roman" w:hAnsi="Times New Roman" w:cs="Times New Roman"/>
        </w:rPr>
        <w:t>http://booktwo.org/notebook/new-aesthetic-politics/</w:t>
      </w:r>
      <w:r w:rsidR="00FF185A">
        <w:rPr>
          <w:rFonts w:ascii="Times New Roman" w:hAnsi="Times New Roman" w:cs="Times New Roman"/>
        </w:rPr>
        <w:t>.</w:t>
      </w:r>
    </w:p>
    <w:p w:rsidR="00FF185A" w:rsidRPr="00FF185A" w:rsidRDefault="00FF185A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  <w:b/>
        </w:rPr>
        <w:t>Haraway, D.</w:t>
      </w:r>
      <w:r>
        <w:rPr>
          <w:rFonts w:ascii="Times New Roman" w:hAnsi="Times New Roman" w:cs="Times New Roman"/>
        </w:rPr>
        <w:t xml:space="preserve"> (2003). </w:t>
      </w:r>
      <w:r>
        <w:rPr>
          <w:rFonts w:ascii="Times New Roman" w:hAnsi="Times New Roman" w:cs="Times New Roman"/>
          <w:i/>
        </w:rPr>
        <w:t>The Companion Species Manifesto: Dogs, People, and Significant Otherness</w:t>
      </w:r>
      <w:r>
        <w:rPr>
          <w:rFonts w:ascii="Times New Roman" w:hAnsi="Times New Roman" w:cs="Times New Roman"/>
        </w:rPr>
        <w:t>. Prickly Paradigm Press, Chicago.</w:t>
      </w:r>
    </w:p>
    <w:p w:rsidR="009304DB" w:rsidRPr="006B5D7C" w:rsidRDefault="009304DB" w:rsidP="009304DB">
      <w:pPr>
        <w:spacing w:line="360" w:lineRule="auto"/>
        <w:rPr>
          <w:rFonts w:ascii="Times New Roman" w:hAnsi="Times New Roman" w:cs="Times New Roman"/>
        </w:rPr>
      </w:pPr>
      <w:r w:rsidRPr="003E4C1D">
        <w:rPr>
          <w:rFonts w:ascii="Times New Roman" w:hAnsi="Times New Roman" w:cs="Times New Roman"/>
          <w:b/>
        </w:rPr>
        <w:t>Sterling, B.</w:t>
      </w:r>
      <w:r w:rsidRPr="006B5D7C">
        <w:rPr>
          <w:rFonts w:ascii="Times New Roman" w:hAnsi="Times New Roman" w:cs="Times New Roman"/>
        </w:rPr>
        <w:t xml:space="preserve"> </w:t>
      </w:r>
      <w:r w:rsidR="00FF185A">
        <w:rPr>
          <w:rFonts w:ascii="Times New Roman" w:hAnsi="Times New Roman" w:cs="Times New Roman"/>
        </w:rPr>
        <w:t xml:space="preserve">(2012). </w:t>
      </w:r>
      <w:r w:rsidRPr="006B5D7C">
        <w:rPr>
          <w:rFonts w:ascii="Times New Roman" w:hAnsi="Times New Roman" w:cs="Times New Roman"/>
        </w:rPr>
        <w:t xml:space="preserve">An Essay on the New Aesthetic. </w:t>
      </w:r>
      <w:r w:rsidRPr="003E4C1D">
        <w:rPr>
          <w:rFonts w:ascii="Times New Roman" w:hAnsi="Times New Roman" w:cs="Times New Roman"/>
          <w:i/>
        </w:rPr>
        <w:t>Wired</w:t>
      </w:r>
      <w:r w:rsidR="00FF185A">
        <w:rPr>
          <w:rFonts w:ascii="Times New Roman" w:hAnsi="Times New Roman" w:cs="Times New Roman"/>
        </w:rPr>
        <w:t>, 4</w:t>
      </w:r>
      <w:r w:rsidRPr="006B5D7C">
        <w:rPr>
          <w:rFonts w:ascii="Times New Roman" w:hAnsi="Times New Roman" w:cs="Times New Roman"/>
        </w:rPr>
        <w:t xml:space="preserve"> February</w:t>
      </w:r>
      <w:r w:rsidR="00FF185A">
        <w:rPr>
          <w:rFonts w:ascii="Times New Roman" w:hAnsi="Times New Roman" w:cs="Times New Roman"/>
        </w:rPr>
        <w:t>,</w:t>
      </w:r>
      <w:r w:rsidRPr="006B5D7C">
        <w:rPr>
          <w:rFonts w:ascii="Times New Roman" w:hAnsi="Times New Roman" w:cs="Times New Roman"/>
        </w:rPr>
        <w:t xml:space="preserve"> http://www.wired.com/2012/04/an-essay-on-the-new-aesthetic/</w:t>
      </w:r>
      <w:r w:rsidR="00FF185A">
        <w:rPr>
          <w:rFonts w:ascii="Times New Roman" w:hAnsi="Times New Roman" w:cs="Times New Roman"/>
        </w:rPr>
        <w:t>.</w:t>
      </w:r>
      <w:r w:rsidR="007F59C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304DB" w:rsidRPr="003E4C1D" w:rsidRDefault="009304DB" w:rsidP="009304DB">
      <w:pPr>
        <w:spacing w:line="360" w:lineRule="auto"/>
        <w:rPr>
          <w:rFonts w:ascii="Times New Roman" w:hAnsi="Times New Roman" w:cs="Times New Roman"/>
          <w:shd w:val="clear" w:color="auto" w:fill="DDEEFF"/>
        </w:rPr>
      </w:pPr>
    </w:p>
    <w:p w:rsidR="00300CB6" w:rsidRPr="006B5D7C" w:rsidRDefault="00C91812" w:rsidP="009304DB">
      <w:pPr>
        <w:spacing w:line="360" w:lineRule="auto"/>
        <w:rPr>
          <w:rFonts w:ascii="Times New Roman" w:hAnsi="Times New Roman" w:cs="Times New Roman"/>
        </w:rPr>
      </w:pPr>
    </w:p>
    <w:sectPr w:rsidR="00300CB6" w:rsidRPr="006B5D7C" w:rsidSect="00300CB6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12" w:rsidRDefault="00C91812">
      <w:r>
        <w:separator/>
      </w:r>
    </w:p>
  </w:endnote>
  <w:endnote w:type="continuationSeparator" w:id="0">
    <w:p w:rsidR="00C91812" w:rsidRDefault="00C9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12" w:rsidRDefault="00C91812">
      <w:r>
        <w:separator/>
      </w:r>
    </w:p>
  </w:footnote>
  <w:footnote w:type="continuationSeparator" w:id="0">
    <w:p w:rsidR="00C91812" w:rsidRDefault="00C918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DB"/>
    <w:rsid w:val="003E3187"/>
    <w:rsid w:val="003E4C1D"/>
    <w:rsid w:val="006B5D7C"/>
    <w:rsid w:val="007F59C5"/>
    <w:rsid w:val="00816DF4"/>
    <w:rsid w:val="009304DB"/>
    <w:rsid w:val="00A65F60"/>
    <w:rsid w:val="00AE3784"/>
    <w:rsid w:val="00B93AC3"/>
    <w:rsid w:val="00C91812"/>
    <w:rsid w:val="00D944F5"/>
    <w:rsid w:val="00FF18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2490D-FD3E-4ECF-96C4-67A24CF6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B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304D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04DB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304DB"/>
    <w:rPr>
      <w:vertAlign w:val="superscript"/>
    </w:rPr>
  </w:style>
  <w:style w:type="character" w:styleId="Strong">
    <w:name w:val="Strong"/>
    <w:basedOn w:val="DefaultParagraphFont"/>
    <w:uiPriority w:val="22"/>
    <w:rsid w:val="009304D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7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lemos</dc:creator>
  <cp:keywords/>
  <cp:lastModifiedBy>Bob2</cp:lastModifiedBy>
  <cp:revision>3</cp:revision>
  <cp:lastPrinted>2015-04-08T17:58:00Z</cp:lastPrinted>
  <dcterms:created xsi:type="dcterms:W3CDTF">2015-04-19T22:10:00Z</dcterms:created>
  <dcterms:modified xsi:type="dcterms:W3CDTF">2015-05-03T17:14:00Z</dcterms:modified>
</cp:coreProperties>
</file>