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FB7" w:rsidRPr="009927F9" w:rsidRDefault="00922FB7" w:rsidP="00D22B35">
      <w:pPr>
        <w:rPr>
          <w:b/>
          <w:bCs/>
          <w:color w:val="000000"/>
          <w:sz w:val="28"/>
          <w:szCs w:val="28"/>
        </w:rPr>
      </w:pPr>
      <w:r w:rsidRPr="009927F9">
        <w:rPr>
          <w:b/>
          <w:bCs/>
          <w:color w:val="000000"/>
          <w:sz w:val="28"/>
          <w:szCs w:val="28"/>
        </w:rPr>
        <w:t>MELANIE-BECQUET — Archaeology</w:t>
      </w:r>
    </w:p>
    <w:p w:rsidR="00922FB7" w:rsidRPr="009927F9" w:rsidRDefault="00922FB7" w:rsidP="00D22B35">
      <w:pPr>
        <w:rPr>
          <w:bCs/>
          <w:color w:val="000000"/>
        </w:rPr>
      </w:pPr>
      <w:r>
        <w:rPr>
          <w:bCs/>
          <w:color w:val="000000"/>
        </w:rPr>
        <w:t>&lt;2 images&gt;</w:t>
      </w:r>
    </w:p>
    <w:p w:rsidR="00922FB7" w:rsidRDefault="005E3230" w:rsidP="00D22B35">
      <w:pPr>
        <w:rPr>
          <w:b/>
          <w:bCs/>
          <w:color w:val="000000"/>
        </w:rPr>
      </w:pPr>
      <w:r>
        <w:rPr>
          <w:b/>
          <w:bCs/>
          <w:color w:val="000000"/>
        </w:rPr>
        <w:t xml:space="preserve"> </w:t>
      </w:r>
    </w:p>
    <w:p w:rsidR="00922FB7" w:rsidRDefault="00922FB7" w:rsidP="00D22B35">
      <w:pPr>
        <w:rPr>
          <w:b/>
          <w:bCs/>
          <w:color w:val="000000"/>
        </w:rPr>
      </w:pPr>
      <w:r w:rsidRPr="00D22B35">
        <w:rPr>
          <w:b/>
          <w:bCs/>
          <w:color w:val="000000"/>
        </w:rPr>
        <w:t xml:space="preserve">Archaeology in the Digital Age: From Paper to Databases </w:t>
      </w:r>
    </w:p>
    <w:p w:rsidR="00922FB7" w:rsidRDefault="00922FB7" w:rsidP="00D22B35">
      <w:pPr>
        <w:rPr>
          <w:color w:val="000000"/>
        </w:rPr>
      </w:pPr>
      <w:proofErr w:type="spellStart"/>
      <w:r w:rsidRPr="00D22B35">
        <w:rPr>
          <w:color w:val="000000"/>
        </w:rPr>
        <w:t>M</w:t>
      </w:r>
      <w:r>
        <w:rPr>
          <w:color w:val="000000"/>
        </w:rPr>
        <w:t>é</w:t>
      </w:r>
      <w:r w:rsidRPr="00D22B35">
        <w:rPr>
          <w:color w:val="000000"/>
        </w:rPr>
        <w:t>lanie</w:t>
      </w:r>
      <w:r>
        <w:rPr>
          <w:color w:val="000000"/>
        </w:rPr>
        <w:t>-</w:t>
      </w:r>
      <w:r w:rsidRPr="00D22B35">
        <w:rPr>
          <w:color w:val="000000"/>
        </w:rPr>
        <w:t>Becquet</w:t>
      </w:r>
      <w:proofErr w:type="spellEnd"/>
      <w:r>
        <w:rPr>
          <w:color w:val="000000"/>
        </w:rPr>
        <w:t xml:space="preserve">, F., </w:t>
      </w:r>
      <w:proofErr w:type="spellStart"/>
      <w:r w:rsidRPr="00D22B35">
        <w:rPr>
          <w:color w:val="000000"/>
        </w:rPr>
        <w:t>Ferguth</w:t>
      </w:r>
      <w:proofErr w:type="spellEnd"/>
      <w:r>
        <w:rPr>
          <w:color w:val="000000"/>
        </w:rPr>
        <w:t xml:space="preserve">, J., </w:t>
      </w:r>
      <w:r w:rsidRPr="00D22B35">
        <w:rPr>
          <w:color w:val="000000"/>
        </w:rPr>
        <w:t>Gruel</w:t>
      </w:r>
      <w:r>
        <w:rPr>
          <w:color w:val="000000"/>
        </w:rPr>
        <w:t xml:space="preserve">, K. and </w:t>
      </w:r>
      <w:proofErr w:type="spellStart"/>
      <w:r>
        <w:rPr>
          <w:color w:val="000000"/>
        </w:rPr>
        <w:t>Poibeau</w:t>
      </w:r>
      <w:proofErr w:type="spellEnd"/>
      <w:r>
        <w:rPr>
          <w:color w:val="000000"/>
        </w:rPr>
        <w:t>, T.</w:t>
      </w:r>
    </w:p>
    <w:p w:rsidR="00922FB7" w:rsidRDefault="00922FB7" w:rsidP="00D22B35">
      <w:pPr>
        <w:rPr>
          <w:color w:val="000000"/>
        </w:rPr>
      </w:pPr>
    </w:p>
    <w:p w:rsidR="00922FB7" w:rsidRDefault="00922FB7" w:rsidP="00D22B35">
      <w:pPr>
        <w:rPr>
          <w:color w:val="000000"/>
        </w:rPr>
      </w:pPr>
      <w:r w:rsidRPr="00D22B35">
        <w:rPr>
          <w:color w:val="000000"/>
        </w:rPr>
        <w:t>Research units in archaeology often manage large and precious archives containing various documents, including reports on fieldwork, scholar</w:t>
      </w:r>
      <w:r>
        <w:rPr>
          <w:color w:val="000000"/>
        </w:rPr>
        <w:t>ly</w:t>
      </w:r>
      <w:r w:rsidRPr="00D22B35">
        <w:rPr>
          <w:color w:val="000000"/>
        </w:rPr>
        <w:t xml:space="preserve"> studies</w:t>
      </w:r>
      <w:r>
        <w:rPr>
          <w:color w:val="000000"/>
        </w:rPr>
        <w:t>,</w:t>
      </w:r>
      <w:r w:rsidRPr="00D22B35">
        <w:rPr>
          <w:color w:val="000000"/>
        </w:rPr>
        <w:t xml:space="preserve"> and reference books. These archives are of course invaluable, recording decades of work, but are </w:t>
      </w:r>
      <w:r>
        <w:rPr>
          <w:color w:val="000000"/>
        </w:rPr>
        <w:t xml:space="preserve">generally </w:t>
      </w:r>
      <w:r w:rsidRPr="00D22B35">
        <w:rPr>
          <w:color w:val="000000"/>
        </w:rPr>
        <w:t xml:space="preserve">hard to consult </w:t>
      </w:r>
      <w:r>
        <w:rPr>
          <w:color w:val="000000"/>
        </w:rPr>
        <w:t xml:space="preserve">and access. </w:t>
      </w:r>
      <w:r w:rsidRPr="00322B14">
        <w:t>In this context, digitizing full text documents is not enough: information must be formalized, structured</w:t>
      </w:r>
      <w:r>
        <w:t>,</w:t>
      </w:r>
      <w:r w:rsidRPr="00322B14">
        <w:t xml:space="preserve"> and easy to access</w:t>
      </w:r>
      <w:r>
        <w:t>,</w:t>
      </w:r>
      <w:r w:rsidRPr="00322B14">
        <w:t xml:space="preserve"> thanks to friendly user interfaces.</w:t>
      </w:r>
    </w:p>
    <w:p w:rsidR="00922FB7" w:rsidRDefault="00922FB7" w:rsidP="00524491">
      <w:pPr>
        <w:ind w:firstLine="720"/>
        <w:rPr>
          <w:color w:val="000000"/>
        </w:rPr>
      </w:pPr>
      <w:r w:rsidRPr="00322B14">
        <w:t xml:space="preserve">The situation at AOROC, a research unit of </w:t>
      </w:r>
      <w:proofErr w:type="spellStart"/>
      <w:r w:rsidRPr="00322B14">
        <w:t>Ecole</w:t>
      </w:r>
      <w:proofErr w:type="spellEnd"/>
      <w:r w:rsidRPr="00322B14">
        <w:t xml:space="preserve"> </w:t>
      </w:r>
      <w:proofErr w:type="spellStart"/>
      <w:r w:rsidRPr="00322B14">
        <w:t>normale</w:t>
      </w:r>
      <w:proofErr w:type="spellEnd"/>
      <w:r w:rsidRPr="00322B14">
        <w:t xml:space="preserve"> </w:t>
      </w:r>
      <w:proofErr w:type="spellStart"/>
      <w:r w:rsidRPr="00322B14">
        <w:t>supérieure</w:t>
      </w:r>
      <w:proofErr w:type="spellEnd"/>
      <w:r>
        <w:t xml:space="preserve"> specializing</w:t>
      </w:r>
      <w:r w:rsidRPr="00322B14">
        <w:t xml:space="preserve"> in archaeology, is precisely the one described </w:t>
      </w:r>
      <w:r w:rsidRPr="00D22B35">
        <w:rPr>
          <w:color w:val="000000"/>
        </w:rPr>
        <w:t>in the previous paragraph: several decades of research are contained in documents</w:t>
      </w:r>
      <w:r>
        <w:rPr>
          <w:color w:val="000000"/>
        </w:rPr>
        <w:t xml:space="preserve"> that</w:t>
      </w:r>
      <w:r w:rsidRPr="00D22B35">
        <w:rPr>
          <w:color w:val="000000"/>
        </w:rPr>
        <w:t xml:space="preserve"> are hardly accessible, even for people working in the lab. The situation is such that researchers </w:t>
      </w:r>
      <w:r>
        <w:rPr>
          <w:color w:val="000000"/>
        </w:rPr>
        <w:t xml:space="preserve">may </w:t>
      </w:r>
      <w:r w:rsidRPr="00D22B35">
        <w:rPr>
          <w:color w:val="000000"/>
        </w:rPr>
        <w:t xml:space="preserve">produce studies largely overlapping with previous work, which remained unknown because </w:t>
      </w:r>
      <w:r>
        <w:rPr>
          <w:color w:val="000000"/>
        </w:rPr>
        <w:t>of poor accessibility.</w:t>
      </w:r>
    </w:p>
    <w:p w:rsidR="00922FB7" w:rsidRDefault="00922FB7" w:rsidP="00524491">
      <w:pPr>
        <w:ind w:firstLine="720"/>
        <w:rPr>
          <w:color w:val="000000"/>
        </w:rPr>
      </w:pPr>
      <w:r w:rsidRPr="00D22B35">
        <w:rPr>
          <w:color w:val="000000"/>
        </w:rPr>
        <w:t xml:space="preserve">A </w:t>
      </w:r>
      <w:r>
        <w:rPr>
          <w:color w:val="000000"/>
        </w:rPr>
        <w:t>partnership</w:t>
      </w:r>
      <w:r w:rsidRPr="00D22B35">
        <w:rPr>
          <w:color w:val="000000"/>
        </w:rPr>
        <w:t xml:space="preserve"> has thus been established between AOROC and LATTICE</w:t>
      </w:r>
      <w:r>
        <w:rPr>
          <w:color w:val="000000"/>
        </w:rPr>
        <w:t>—</w:t>
      </w:r>
      <w:r w:rsidRPr="00322B14">
        <w:t>a</w:t>
      </w:r>
      <w:r>
        <w:t>nother research unit specializing</w:t>
      </w:r>
      <w:r w:rsidRPr="00322B14">
        <w:t xml:space="preserve"> in </w:t>
      </w:r>
      <w:r>
        <w:t>d</w:t>
      </w:r>
      <w:r w:rsidRPr="00322B14">
        <w:t>igital humanities and natural language processing</w:t>
      </w:r>
      <w:r>
        <w:rPr>
          <w:color w:val="000000"/>
        </w:rPr>
        <w:t>—</w:t>
      </w:r>
      <w:r w:rsidRPr="00D22B35">
        <w:rPr>
          <w:color w:val="000000"/>
        </w:rPr>
        <w:t xml:space="preserve">to digitize </w:t>
      </w:r>
      <w:r>
        <w:rPr>
          <w:color w:val="000000"/>
        </w:rPr>
        <w:t xml:space="preserve">and structure </w:t>
      </w:r>
      <w:r w:rsidRPr="00D22B35">
        <w:rPr>
          <w:color w:val="000000"/>
        </w:rPr>
        <w:t xml:space="preserve">a part of these documents. A pilot study </w:t>
      </w:r>
      <w:r w:rsidRPr="00322B14">
        <w:t xml:space="preserve">concerned a collection of texts covering </w:t>
      </w:r>
      <w:r w:rsidRPr="00D22B35">
        <w:rPr>
          <w:color w:val="000000"/>
        </w:rPr>
        <w:t>excavations related to the Gaul period (</w:t>
      </w:r>
      <w:proofErr w:type="spellStart"/>
      <w:r w:rsidRPr="00D22B35">
        <w:rPr>
          <w:i/>
          <w:iCs/>
          <w:color w:val="000000"/>
        </w:rPr>
        <w:t>Cartes</w:t>
      </w:r>
      <w:proofErr w:type="spellEnd"/>
      <w:r w:rsidRPr="00D22B35">
        <w:rPr>
          <w:i/>
          <w:iCs/>
          <w:color w:val="000000"/>
        </w:rPr>
        <w:t xml:space="preserve"> </w:t>
      </w:r>
      <w:proofErr w:type="spellStart"/>
      <w:r w:rsidRPr="00D22B35">
        <w:rPr>
          <w:i/>
          <w:iCs/>
          <w:color w:val="000000"/>
        </w:rPr>
        <w:t>Archéologiques</w:t>
      </w:r>
      <w:proofErr w:type="spellEnd"/>
      <w:r w:rsidRPr="00D22B35">
        <w:rPr>
          <w:i/>
          <w:iCs/>
          <w:color w:val="000000"/>
        </w:rPr>
        <w:t xml:space="preserve"> de la </w:t>
      </w:r>
      <w:proofErr w:type="spellStart"/>
      <w:r w:rsidRPr="00D22B35">
        <w:rPr>
          <w:i/>
          <w:iCs/>
          <w:color w:val="000000"/>
        </w:rPr>
        <w:t>Gaule</w:t>
      </w:r>
      <w:proofErr w:type="spellEnd"/>
      <w:r w:rsidRPr="00D22B35">
        <w:rPr>
          <w:color w:val="000000"/>
        </w:rPr>
        <w:t xml:space="preserve"> [Provost, 1988</w:t>
      </w:r>
      <w:r>
        <w:rPr>
          <w:color w:val="000000"/>
        </w:rPr>
        <w:t>–</w:t>
      </w:r>
      <w:r w:rsidRPr="00D22B35">
        <w:rPr>
          <w:color w:val="000000"/>
        </w:rPr>
        <w:t>]</w:t>
      </w:r>
      <w:r>
        <w:rPr>
          <w:color w:val="000000"/>
        </w:rPr>
        <w:t>)</w:t>
      </w:r>
      <w:r w:rsidRPr="00D22B35">
        <w:rPr>
          <w:color w:val="000000"/>
        </w:rPr>
        <w:t xml:space="preserve">, resuming excavations made in an area encompassing a large part of modern France from the Iron </w:t>
      </w:r>
      <w:r>
        <w:rPr>
          <w:color w:val="000000"/>
        </w:rPr>
        <w:t>A</w:t>
      </w:r>
      <w:r w:rsidRPr="00D22B35">
        <w:rPr>
          <w:color w:val="000000"/>
        </w:rPr>
        <w:t>ge to the medieval period, 800</w:t>
      </w:r>
      <w:r>
        <w:rPr>
          <w:color w:val="000000"/>
        </w:rPr>
        <w:t xml:space="preserve"> </w:t>
      </w:r>
      <w:r w:rsidRPr="00D22B35">
        <w:rPr>
          <w:color w:val="000000"/>
        </w:rPr>
        <w:t xml:space="preserve">BC to </w:t>
      </w:r>
      <w:r>
        <w:rPr>
          <w:color w:val="000000"/>
        </w:rPr>
        <w:t xml:space="preserve">AD </w:t>
      </w:r>
      <w:r w:rsidRPr="00D22B35">
        <w:rPr>
          <w:color w:val="000000"/>
        </w:rPr>
        <w:t xml:space="preserve">800. </w:t>
      </w:r>
      <w:r>
        <w:rPr>
          <w:color w:val="000000"/>
        </w:rPr>
        <w:t xml:space="preserve">One hundred twenty-eight </w:t>
      </w:r>
      <w:r w:rsidRPr="00D22B35">
        <w:rPr>
          <w:color w:val="000000"/>
        </w:rPr>
        <w:t>volumes have been published so far, each volume correspond</w:t>
      </w:r>
      <w:r>
        <w:rPr>
          <w:color w:val="000000"/>
        </w:rPr>
        <w:t>ing</w:t>
      </w:r>
      <w:r w:rsidRPr="00D22B35">
        <w:rPr>
          <w:color w:val="000000"/>
        </w:rPr>
        <w:t xml:space="preserve"> to one French department; some departments are covered by several volumes. The pilot study concerned three of these</w:t>
      </w:r>
      <w:r>
        <w:rPr>
          <w:color w:val="000000"/>
        </w:rPr>
        <w:t xml:space="preserve"> volumes</w:t>
      </w:r>
      <w:r w:rsidRPr="00D22B35">
        <w:rPr>
          <w:color w:val="000000"/>
        </w:rPr>
        <w:t xml:space="preserve">, along with other types of documents so as to ensure the </w:t>
      </w:r>
      <w:r>
        <w:rPr>
          <w:color w:val="000000"/>
        </w:rPr>
        <w:t xml:space="preserve">genericity of the </w:t>
      </w:r>
      <w:r w:rsidRPr="00D22B35">
        <w:rPr>
          <w:color w:val="000000"/>
        </w:rPr>
        <w:t>developed solution</w:t>
      </w:r>
      <w:r>
        <w:rPr>
          <w:color w:val="000000"/>
        </w:rPr>
        <w:t>.</w:t>
      </w:r>
      <w:r w:rsidRPr="00D22B35">
        <w:rPr>
          <w:color w:val="000000"/>
        </w:rPr>
        <w:t xml:space="preserve"> The idea is</w:t>
      </w:r>
      <w:r>
        <w:rPr>
          <w:color w:val="000000"/>
        </w:rPr>
        <w:t xml:space="preserve">, of course, </w:t>
      </w:r>
      <w:r w:rsidRPr="00D22B35">
        <w:rPr>
          <w:color w:val="000000"/>
        </w:rPr>
        <w:t xml:space="preserve">not just to digitize and transfer documents online but </w:t>
      </w:r>
      <w:r>
        <w:rPr>
          <w:color w:val="000000"/>
        </w:rPr>
        <w:t xml:space="preserve">also </w:t>
      </w:r>
      <w:r w:rsidRPr="00D22B35">
        <w:rPr>
          <w:color w:val="000000"/>
        </w:rPr>
        <w:t xml:space="preserve">to extract key information </w:t>
      </w:r>
      <w:r w:rsidRPr="00322B14">
        <w:t xml:space="preserve">so as to feed structured databases </w:t>
      </w:r>
      <w:r w:rsidRPr="00D22B35">
        <w:rPr>
          <w:color w:val="000000"/>
        </w:rPr>
        <w:t>(</w:t>
      </w:r>
      <w:proofErr w:type="spellStart"/>
      <w:r w:rsidRPr="00D22B35">
        <w:rPr>
          <w:color w:val="000000"/>
        </w:rPr>
        <w:t>Poibeau</w:t>
      </w:r>
      <w:proofErr w:type="spellEnd"/>
      <w:r w:rsidRPr="00D22B35">
        <w:rPr>
          <w:color w:val="000000"/>
        </w:rPr>
        <w:t xml:space="preserve"> et al., 2013)</w:t>
      </w:r>
      <w:r>
        <w:rPr>
          <w:color w:val="000000"/>
        </w:rPr>
        <w:t xml:space="preserve">. The result should be accessible using a standard but powerful query language. </w:t>
      </w:r>
    </w:p>
    <w:p w:rsidR="00922FB7" w:rsidRDefault="00922FB7" w:rsidP="00524491">
      <w:pPr>
        <w:ind w:firstLine="720"/>
        <w:rPr>
          <w:color w:val="000000"/>
        </w:rPr>
      </w:pPr>
      <w:r w:rsidRPr="00D22B35">
        <w:rPr>
          <w:color w:val="000000"/>
        </w:rPr>
        <w:lastRenderedPageBreak/>
        <w:t>A first step consists in recognizing the structure of the document</w:t>
      </w:r>
      <w:r>
        <w:rPr>
          <w:color w:val="000000"/>
        </w:rPr>
        <w:t>s</w:t>
      </w:r>
      <w:r w:rsidRPr="00D22B35">
        <w:rPr>
          <w:color w:val="000000"/>
        </w:rPr>
        <w:t xml:space="preserve">, which </w:t>
      </w:r>
      <w:r>
        <w:rPr>
          <w:color w:val="000000"/>
        </w:rPr>
        <w:t xml:space="preserve">mainly consist of </w:t>
      </w:r>
      <w:r w:rsidRPr="00D22B35">
        <w:rPr>
          <w:color w:val="000000"/>
        </w:rPr>
        <w:t xml:space="preserve">notices, each notice corresponding to a specific </w:t>
      </w:r>
      <w:r>
        <w:rPr>
          <w:color w:val="000000"/>
        </w:rPr>
        <w:t>‘</w:t>
      </w:r>
      <w:r w:rsidRPr="00D22B35">
        <w:rPr>
          <w:color w:val="000000"/>
        </w:rPr>
        <w:t>municipality</w:t>
      </w:r>
      <w:r>
        <w:rPr>
          <w:color w:val="000000"/>
        </w:rPr>
        <w:t xml:space="preserve">’ </w:t>
      </w:r>
      <w:r w:rsidRPr="00322B14">
        <w:t>(the structure is not formally encoded in the source documents and may vary from one document to the other).</w:t>
      </w:r>
      <w:r>
        <w:t xml:space="preserve"> </w:t>
      </w:r>
      <w:r w:rsidRPr="00D22B35">
        <w:rPr>
          <w:color w:val="000000"/>
        </w:rPr>
        <w:t xml:space="preserve">Specific zones </w:t>
      </w:r>
      <w:r>
        <w:rPr>
          <w:color w:val="000000"/>
        </w:rPr>
        <w:t xml:space="preserve">inside the notices </w:t>
      </w:r>
      <w:r w:rsidRPr="00D22B35">
        <w:rPr>
          <w:color w:val="000000"/>
        </w:rPr>
        <w:t>have to be recognized (see</w:t>
      </w:r>
      <w:r>
        <w:rPr>
          <w:color w:val="000000"/>
        </w:rPr>
        <w:t xml:space="preserve"> Figure 1</w:t>
      </w:r>
      <w:r w:rsidRPr="00D22B35">
        <w:rPr>
          <w:color w:val="000000"/>
        </w:rPr>
        <w:t>)</w:t>
      </w:r>
      <w:r>
        <w:rPr>
          <w:color w:val="000000"/>
        </w:rPr>
        <w:t xml:space="preserve">. This step </w:t>
      </w:r>
      <w:r w:rsidRPr="00D22B35">
        <w:rPr>
          <w:color w:val="000000"/>
        </w:rPr>
        <w:t xml:space="preserve">can be done by specific programs but also needs some manual cleaning. </w:t>
      </w:r>
      <w:r>
        <w:rPr>
          <w:color w:val="000000"/>
        </w:rPr>
        <w:t>In our opinion, t</w:t>
      </w:r>
      <w:r w:rsidRPr="00D22B35">
        <w:rPr>
          <w:color w:val="000000"/>
        </w:rPr>
        <w:t>he most interesting part concern</w:t>
      </w:r>
      <w:r>
        <w:rPr>
          <w:color w:val="000000"/>
        </w:rPr>
        <w:t>s</w:t>
      </w:r>
      <w:r w:rsidRPr="00D22B35">
        <w:rPr>
          <w:color w:val="000000"/>
        </w:rPr>
        <w:t xml:space="preserve"> advanced natural language processing techniques used for information extraction. These </w:t>
      </w:r>
      <w:r>
        <w:rPr>
          <w:color w:val="000000"/>
        </w:rPr>
        <w:t>include</w:t>
      </w:r>
    </w:p>
    <w:p w:rsidR="00922FB7" w:rsidRDefault="00922FB7" w:rsidP="00524491">
      <w:pPr>
        <w:ind w:firstLine="720"/>
        <w:rPr>
          <w:color w:val="000000"/>
        </w:rPr>
      </w:pPr>
    </w:p>
    <w:p w:rsidR="00922FB7" w:rsidRDefault="00922FB7" w:rsidP="00524491">
      <w:pPr>
        <w:tabs>
          <w:tab w:val="left" w:pos="720"/>
        </w:tabs>
        <w:ind w:left="1080" w:hanging="1080"/>
        <w:rPr>
          <w:color w:val="000000"/>
        </w:rPr>
      </w:pPr>
      <w:r>
        <w:rPr>
          <w:color w:val="000000"/>
        </w:rPr>
        <w:tab/>
        <w:t>•</w:t>
      </w:r>
      <w:r>
        <w:rPr>
          <w:color w:val="000000"/>
        </w:rPr>
        <w:tab/>
      </w:r>
      <w:r w:rsidRPr="00D22B35">
        <w:rPr>
          <w:color w:val="000000"/>
        </w:rPr>
        <w:t>Named entity recognition (i.e.</w:t>
      </w:r>
      <w:r>
        <w:rPr>
          <w:color w:val="000000"/>
        </w:rPr>
        <w:t>,</w:t>
      </w:r>
      <w:r w:rsidRPr="00D22B35">
        <w:rPr>
          <w:color w:val="000000"/>
        </w:rPr>
        <w:t xml:space="preserve"> the recognition of proper names, location, dates, etc.)</w:t>
      </w:r>
      <w:r>
        <w:rPr>
          <w:color w:val="000000"/>
        </w:rPr>
        <w:t>.</w:t>
      </w:r>
    </w:p>
    <w:p w:rsidR="00922FB7" w:rsidRDefault="00922FB7" w:rsidP="00524491">
      <w:pPr>
        <w:tabs>
          <w:tab w:val="left" w:pos="720"/>
        </w:tabs>
        <w:ind w:left="1080" w:hanging="1080"/>
        <w:rPr>
          <w:color w:val="000000"/>
        </w:rPr>
      </w:pPr>
      <w:r>
        <w:rPr>
          <w:color w:val="000000"/>
        </w:rPr>
        <w:tab/>
        <w:t>•</w:t>
      </w:r>
      <w:r>
        <w:rPr>
          <w:color w:val="000000"/>
        </w:rPr>
        <w:tab/>
      </w:r>
      <w:r w:rsidRPr="00D22B35">
        <w:rPr>
          <w:color w:val="000000"/>
        </w:rPr>
        <w:t>Technical term extraction (i.e.</w:t>
      </w:r>
      <w:r>
        <w:rPr>
          <w:color w:val="000000"/>
        </w:rPr>
        <w:t>,</w:t>
      </w:r>
      <w:r w:rsidRPr="00D22B35">
        <w:rPr>
          <w:color w:val="000000"/>
        </w:rPr>
        <w:t xml:space="preserve"> all archaeological terms)</w:t>
      </w:r>
      <w:r>
        <w:rPr>
          <w:color w:val="000000"/>
        </w:rPr>
        <w:t>.</w:t>
      </w:r>
      <w:r w:rsidRPr="00D22B35">
        <w:rPr>
          <w:color w:val="000000"/>
        </w:rPr>
        <w:t xml:space="preserve"> </w:t>
      </w:r>
    </w:p>
    <w:p w:rsidR="00922FB7" w:rsidRDefault="001D784B" w:rsidP="002828DD">
      <w:pPr>
        <w:tabs>
          <w:tab w:val="left" w:pos="720"/>
        </w:tabs>
        <w:ind w:left="1080" w:hanging="1080"/>
        <w:rPr>
          <w:color w:val="000000"/>
        </w:rPr>
      </w:pPr>
      <w:r>
        <w:rPr>
          <w:noProof/>
        </w:rPr>
        <w:drawing>
          <wp:anchor distT="0" distB="0" distL="114300" distR="114300" simplePos="0" relativeHeight="251658240" behindDoc="0" locked="0" layoutInCell="1" allowOverlap="1">
            <wp:simplePos x="0" y="0"/>
            <wp:positionH relativeFrom="column">
              <wp:posOffset>388620</wp:posOffset>
            </wp:positionH>
            <wp:positionV relativeFrom="paragraph">
              <wp:posOffset>834390</wp:posOffset>
            </wp:positionV>
            <wp:extent cx="5486400" cy="3276600"/>
            <wp:effectExtent l="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276600"/>
                    </a:xfrm>
                    <a:prstGeom prst="rect">
                      <a:avLst/>
                    </a:prstGeom>
                    <a:noFill/>
                  </pic:spPr>
                </pic:pic>
              </a:graphicData>
            </a:graphic>
            <wp14:sizeRelH relativeFrom="page">
              <wp14:pctWidth>0</wp14:pctWidth>
            </wp14:sizeRelH>
            <wp14:sizeRelV relativeFrom="page">
              <wp14:pctHeight>0</wp14:pctHeight>
            </wp14:sizeRelV>
          </wp:anchor>
        </w:drawing>
      </w:r>
      <w:r w:rsidR="00922FB7">
        <w:rPr>
          <w:color w:val="000000"/>
        </w:rPr>
        <w:tab/>
        <w:t>•</w:t>
      </w:r>
      <w:r w:rsidR="00922FB7">
        <w:rPr>
          <w:color w:val="000000"/>
        </w:rPr>
        <w:tab/>
      </w:r>
      <w:r w:rsidR="00922FB7" w:rsidRPr="00D22B35">
        <w:rPr>
          <w:color w:val="000000"/>
        </w:rPr>
        <w:t>Entity linking (i.e.</w:t>
      </w:r>
      <w:r w:rsidR="00922FB7">
        <w:rPr>
          <w:color w:val="000000"/>
        </w:rPr>
        <w:t>,</w:t>
      </w:r>
      <w:r w:rsidR="00922FB7" w:rsidRPr="00D22B35">
        <w:rPr>
          <w:color w:val="000000"/>
        </w:rPr>
        <w:t xml:space="preserve"> the recognition of the different variants of a same term or entity and its connection to the same type of object in the database). </w:t>
      </w:r>
    </w:p>
    <w:p w:rsidR="00922FB7" w:rsidRDefault="00922FB7" w:rsidP="00524491">
      <w:pPr>
        <w:ind w:firstLine="720"/>
        <w:rPr>
          <w:color w:val="000000"/>
        </w:rPr>
      </w:pPr>
    </w:p>
    <w:p w:rsidR="00922FB7" w:rsidRDefault="005E3230" w:rsidP="00EF1E89">
      <w:pPr>
        <w:rPr>
          <w:bCs/>
          <w:color w:val="000000"/>
        </w:rPr>
      </w:pPr>
      <w:r>
        <w:rPr>
          <w:color w:val="000000"/>
        </w:rPr>
        <w:pict>
          <v:rect id="_x0000_i1025" style="width:0;height:1.5pt" o:hralign="center" o:hrstd="t" o:hr="t" fillcolor="#a0a0a0" stroked="f"/>
        </w:pict>
      </w:r>
    </w:p>
    <w:p w:rsidR="00922FB7" w:rsidRDefault="00922FB7" w:rsidP="001D784B">
      <w:pPr>
        <w:rPr>
          <w:color w:val="000000"/>
        </w:rPr>
      </w:pPr>
      <w:r w:rsidRPr="001D784B">
        <w:rPr>
          <w:bCs/>
          <w:color w:val="000000"/>
        </w:rPr>
        <w:t>Figure 1.</w:t>
      </w:r>
      <w:r>
        <w:rPr>
          <w:b/>
          <w:bCs/>
          <w:color w:val="000000"/>
        </w:rPr>
        <w:t xml:space="preserve"> </w:t>
      </w:r>
      <w:r>
        <w:rPr>
          <w:color w:val="000000"/>
        </w:rPr>
        <w:t>A</w:t>
      </w:r>
      <w:r w:rsidRPr="00D22B35">
        <w:rPr>
          <w:color w:val="000000"/>
        </w:rPr>
        <w:t xml:space="preserve"> typical notice with key information to be recognized</w:t>
      </w:r>
      <w:r>
        <w:rPr>
          <w:color w:val="000000"/>
        </w:rPr>
        <w:t>.</w:t>
      </w:r>
    </w:p>
    <w:p w:rsidR="00922FB7" w:rsidRDefault="00922FB7" w:rsidP="00524491">
      <w:pPr>
        <w:ind w:firstLine="720"/>
        <w:rPr>
          <w:color w:val="000000"/>
        </w:rPr>
      </w:pPr>
    </w:p>
    <w:p w:rsidR="00922FB7" w:rsidRDefault="00922FB7" w:rsidP="00524491">
      <w:pPr>
        <w:ind w:firstLine="720"/>
        <w:rPr>
          <w:color w:val="000000"/>
        </w:rPr>
      </w:pPr>
      <w:r w:rsidRPr="00D22B35">
        <w:rPr>
          <w:color w:val="000000"/>
        </w:rPr>
        <w:t xml:space="preserve">Different tools have been used, like </w:t>
      </w:r>
      <w:proofErr w:type="spellStart"/>
      <w:r w:rsidRPr="00D22B35">
        <w:rPr>
          <w:color w:val="000000"/>
        </w:rPr>
        <w:t>TreeTagger</w:t>
      </w:r>
      <w:proofErr w:type="spellEnd"/>
      <w:r w:rsidRPr="00D22B35">
        <w:rPr>
          <w:color w:val="000000"/>
        </w:rPr>
        <w:t xml:space="preserve"> (</w:t>
      </w:r>
      <w:r w:rsidRPr="001D784B">
        <w:t>http://www.cis.uni</w:t>
      </w:r>
      <w:r>
        <w:t>-</w:t>
      </w:r>
      <w:r w:rsidRPr="001D784B">
        <w:t xml:space="preserve"> muenchen.de/~</w:t>
      </w:r>
      <w:proofErr w:type="spellStart"/>
      <w:r w:rsidRPr="001D784B">
        <w:t>schmid</w:t>
      </w:r>
      <w:proofErr w:type="spellEnd"/>
      <w:r w:rsidRPr="001D784B">
        <w:t>/tools/</w:t>
      </w:r>
      <w:proofErr w:type="spellStart"/>
      <w:r w:rsidRPr="001D784B">
        <w:t>TreeTagger</w:t>
      </w:r>
      <w:proofErr w:type="spellEnd"/>
      <w:r w:rsidRPr="001D784B">
        <w:t>/) for part</w:t>
      </w:r>
      <w:r>
        <w:t>-</w:t>
      </w:r>
      <w:r w:rsidRPr="001D784B">
        <w:t>of</w:t>
      </w:r>
      <w:r>
        <w:t>-</w:t>
      </w:r>
      <w:r w:rsidRPr="001D784B">
        <w:t xml:space="preserve">speech tagging, </w:t>
      </w:r>
      <w:proofErr w:type="spellStart"/>
      <w:r w:rsidRPr="001D784B">
        <w:t>Yatea</w:t>
      </w:r>
      <w:proofErr w:type="spellEnd"/>
      <w:r w:rsidRPr="001D784B">
        <w:t xml:space="preserve"> </w:t>
      </w:r>
      <w:r w:rsidRPr="001D784B">
        <w:lastRenderedPageBreak/>
        <w:t>(https://metacpan.org/release/Lingua</w:t>
      </w:r>
      <w:r>
        <w:t>-</w:t>
      </w:r>
      <w:r w:rsidRPr="001D784B">
        <w:t>YaTeA) for technical term extraction</w:t>
      </w:r>
      <w:r>
        <w:t>,</w:t>
      </w:r>
      <w:r w:rsidRPr="001D784B">
        <w:t xml:space="preserve"> and </w:t>
      </w:r>
      <w:proofErr w:type="spellStart"/>
      <w:r w:rsidRPr="001D784B">
        <w:t>TyDI</w:t>
      </w:r>
      <w:proofErr w:type="spellEnd"/>
      <w:r w:rsidRPr="001D784B">
        <w:t xml:space="preserve"> for terminology structuration (http://ciam.inra.fr/logiciels/node/195</w:t>
      </w:r>
      <w:r w:rsidRPr="00D22B35">
        <w:rPr>
          <w:color w:val="000000"/>
        </w:rPr>
        <w:t>). In</w:t>
      </w:r>
      <w:r>
        <w:rPr>
          <w:color w:val="000000"/>
        </w:rPr>
        <w:t>-</w:t>
      </w:r>
      <w:r w:rsidRPr="00D22B35">
        <w:rPr>
          <w:color w:val="000000"/>
        </w:rPr>
        <w:t>house solutions have been developed for document structure, name</w:t>
      </w:r>
      <w:r>
        <w:rPr>
          <w:color w:val="000000"/>
        </w:rPr>
        <w:t>ly</w:t>
      </w:r>
      <w:r w:rsidRPr="00D22B35">
        <w:rPr>
          <w:color w:val="000000"/>
        </w:rPr>
        <w:t xml:space="preserve"> entity recognition</w:t>
      </w:r>
      <w:r>
        <w:rPr>
          <w:color w:val="000000"/>
        </w:rPr>
        <w:t>,</w:t>
      </w:r>
      <w:r w:rsidRPr="00D22B35">
        <w:rPr>
          <w:color w:val="000000"/>
        </w:rPr>
        <w:t xml:space="preserve"> and entity linking. All the modules are parameterized so that they can be easily adapted to new sources of data. </w:t>
      </w:r>
      <w:r w:rsidRPr="00322B14">
        <w:t xml:space="preserve">These tools are based on up-to-date natural language processing techniques and have obtained excellent results in recent benchmarks like </w:t>
      </w:r>
      <w:proofErr w:type="spellStart"/>
      <w:r w:rsidRPr="00322B14">
        <w:t>Semeval</w:t>
      </w:r>
      <w:proofErr w:type="spellEnd"/>
      <w:r w:rsidRPr="00322B14">
        <w:t xml:space="preserve"> (</w:t>
      </w:r>
      <w:r w:rsidRPr="00A122C4">
        <w:t xml:space="preserve">Ruiz and </w:t>
      </w:r>
      <w:proofErr w:type="spellStart"/>
      <w:r w:rsidRPr="00A122C4">
        <w:t>Poibeau</w:t>
      </w:r>
      <w:proofErr w:type="spellEnd"/>
      <w:r w:rsidRPr="00A122C4">
        <w:t>, 2015</w:t>
      </w:r>
      <w:r w:rsidRPr="00322B14">
        <w:t>).</w:t>
      </w:r>
    </w:p>
    <w:p w:rsidR="00922FB7" w:rsidRDefault="00922FB7" w:rsidP="00524491">
      <w:pPr>
        <w:ind w:firstLine="720"/>
        <w:rPr>
          <w:color w:val="000000"/>
        </w:rPr>
      </w:pPr>
      <w:r w:rsidRPr="00D22B35">
        <w:rPr>
          <w:color w:val="000000"/>
        </w:rPr>
        <w:t>The result</w:t>
      </w:r>
      <w:r>
        <w:rPr>
          <w:color w:val="000000"/>
        </w:rPr>
        <w:t xml:space="preserve"> of the project</w:t>
      </w:r>
      <w:r w:rsidRPr="00D22B35">
        <w:rPr>
          <w:color w:val="000000"/>
        </w:rPr>
        <w:t xml:space="preserve"> made it possible to automatically feed a structured database based on the textual content analysis. Documents are now accessible online with full text facilities, structured indexes</w:t>
      </w:r>
      <w:r>
        <w:rPr>
          <w:color w:val="000000"/>
        </w:rPr>
        <w:t>,</w:t>
      </w:r>
      <w:r w:rsidRPr="00D22B35">
        <w:rPr>
          <w:color w:val="000000"/>
        </w:rPr>
        <w:t xml:space="preserve"> and ontologies (see </w:t>
      </w:r>
      <w:r>
        <w:rPr>
          <w:color w:val="000000"/>
        </w:rPr>
        <w:t>Figure 2</w:t>
      </w:r>
      <w:r w:rsidRPr="00D22B35">
        <w:rPr>
          <w:color w:val="000000"/>
        </w:rPr>
        <w:t>). It is thus possible to interrogate the database with queries dealing with a specific location, a specific series of objects</w:t>
      </w:r>
      <w:r>
        <w:rPr>
          <w:color w:val="000000"/>
        </w:rPr>
        <w:t>,</w:t>
      </w:r>
      <w:r w:rsidRPr="00D22B35">
        <w:rPr>
          <w:color w:val="000000"/>
        </w:rPr>
        <w:t xml:space="preserve"> or a given period of time. </w:t>
      </w:r>
    </w:p>
    <w:p w:rsidR="00922FB7" w:rsidRDefault="00922FB7" w:rsidP="00524491">
      <w:pPr>
        <w:ind w:firstLine="720"/>
        <w:rPr>
          <w:color w:val="000000"/>
        </w:rPr>
      </w:pPr>
    </w:p>
    <w:p w:rsidR="00922FB7" w:rsidRDefault="001D784B" w:rsidP="00524491">
      <w:pPr>
        <w:ind w:firstLine="720"/>
        <w:rPr>
          <w:color w:val="000000"/>
        </w:rPr>
      </w:pPr>
      <w:r>
        <w:rPr>
          <w:noProof/>
        </w:rPr>
        <w:drawing>
          <wp:anchor distT="0" distB="0" distL="114300" distR="114300" simplePos="0" relativeHeight="251657216" behindDoc="0" locked="0" layoutInCell="1" allowOverlap="1">
            <wp:simplePos x="0" y="0"/>
            <wp:positionH relativeFrom="column">
              <wp:posOffset>457200</wp:posOffset>
            </wp:positionH>
            <wp:positionV relativeFrom="paragraph">
              <wp:posOffset>2540</wp:posOffset>
            </wp:positionV>
            <wp:extent cx="5486400" cy="2920365"/>
            <wp:effectExtent l="0" t="0" r="0" b="0"/>
            <wp:wrapTopAndBottom/>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920365"/>
                    </a:xfrm>
                    <a:prstGeom prst="rect">
                      <a:avLst/>
                    </a:prstGeom>
                    <a:noFill/>
                  </pic:spPr>
                </pic:pic>
              </a:graphicData>
            </a:graphic>
            <wp14:sizeRelH relativeFrom="page">
              <wp14:pctWidth>0</wp14:pctWidth>
            </wp14:sizeRelH>
            <wp14:sizeRelV relativeFrom="page">
              <wp14:pctHeight>0</wp14:pctHeight>
            </wp14:sizeRelV>
          </wp:anchor>
        </w:drawing>
      </w:r>
    </w:p>
    <w:p w:rsidR="00922FB7" w:rsidRDefault="005E3230" w:rsidP="001D784B">
      <w:pPr>
        <w:rPr>
          <w:color w:val="000000"/>
        </w:rPr>
      </w:pPr>
      <w:r>
        <w:rPr>
          <w:color w:val="000000"/>
        </w:rPr>
        <w:pict>
          <v:rect id="_x0000_i1026" style="width:0;height:1.5pt" o:hralign="center" o:hrstd="t" o:hr="t" fillcolor="#a0a0a0" stroked="f"/>
        </w:pict>
      </w:r>
    </w:p>
    <w:p w:rsidR="00922FB7" w:rsidRDefault="00922FB7" w:rsidP="001D784B">
      <w:pPr>
        <w:rPr>
          <w:color w:val="000000"/>
        </w:rPr>
      </w:pPr>
      <w:r w:rsidRPr="006F23C1">
        <w:rPr>
          <w:bCs/>
          <w:color w:val="000000"/>
        </w:rPr>
        <w:t xml:space="preserve">Figure </w:t>
      </w:r>
      <w:r>
        <w:rPr>
          <w:bCs/>
          <w:color w:val="000000"/>
        </w:rPr>
        <w:t>2.</w:t>
      </w:r>
      <w:r w:rsidRPr="00D22B35">
        <w:rPr>
          <w:b/>
          <w:bCs/>
          <w:color w:val="000000"/>
        </w:rPr>
        <w:t xml:space="preserve"> </w:t>
      </w:r>
      <w:r>
        <w:rPr>
          <w:color w:val="000000"/>
        </w:rPr>
        <w:t>T</w:t>
      </w:r>
      <w:r w:rsidRPr="00D22B35">
        <w:rPr>
          <w:color w:val="000000"/>
        </w:rPr>
        <w:t>he original published text, along with some structured outputs after analysis</w:t>
      </w:r>
      <w:r>
        <w:rPr>
          <w:color w:val="000000"/>
        </w:rPr>
        <w:t>.</w:t>
      </w:r>
      <w:r w:rsidRPr="00D22B35">
        <w:rPr>
          <w:color w:val="000000"/>
        </w:rPr>
        <w:t xml:space="preserve"> </w:t>
      </w:r>
    </w:p>
    <w:p w:rsidR="00922FB7" w:rsidRDefault="00922FB7" w:rsidP="002828DD"/>
    <w:p w:rsidR="00922FB7" w:rsidRPr="00322B14" w:rsidRDefault="00922FB7" w:rsidP="002828DD">
      <w:pPr>
        <w:ind w:firstLine="720"/>
      </w:pPr>
      <w:r w:rsidRPr="00322B14">
        <w:t>This work can be compared to other initiatives with a similar goal. In archaeology, one can cite archaeological archiving bodies such as the ADS (</w:t>
      </w:r>
      <w:r w:rsidRPr="001D784B">
        <w:t>http://archaeologydataservice.ac.uk/</w:t>
      </w:r>
      <w:r w:rsidRPr="00322B14">
        <w:t xml:space="preserve">), </w:t>
      </w:r>
      <w:proofErr w:type="spellStart"/>
      <w:r w:rsidRPr="00322B14">
        <w:t>tDAR</w:t>
      </w:r>
      <w:proofErr w:type="spellEnd"/>
      <w:r w:rsidRPr="00322B14">
        <w:t xml:space="preserve"> (</w:t>
      </w:r>
      <w:r w:rsidRPr="001D784B">
        <w:t>http://www.tdar.org/about/</w:t>
      </w:r>
      <w:r w:rsidRPr="00322B14">
        <w:t xml:space="preserve">), or </w:t>
      </w:r>
      <w:proofErr w:type="spellStart"/>
      <w:r w:rsidRPr="00322B14">
        <w:t>OpenContext</w:t>
      </w:r>
      <w:proofErr w:type="spellEnd"/>
      <w:r w:rsidRPr="00322B14">
        <w:t xml:space="preserve"> (</w:t>
      </w:r>
      <w:r w:rsidRPr="001D784B">
        <w:t>http://opencontext.org/</w:t>
      </w:r>
      <w:r w:rsidRPr="00322B14">
        <w:t xml:space="preserve">), among others. Research on interoperability </w:t>
      </w:r>
      <w:r w:rsidRPr="00322B14">
        <w:lastRenderedPageBreak/>
        <w:t>between archaeological databas</w:t>
      </w:r>
      <w:r>
        <w:t>es includes, among many others, Binding et al. (</w:t>
      </w:r>
      <w:r w:rsidRPr="00322B14">
        <w:t>2008</w:t>
      </w:r>
      <w:r>
        <w:t>),</w:t>
      </w:r>
      <w:r w:rsidRPr="00322B14">
        <w:t xml:space="preserve"> </w:t>
      </w:r>
      <w:proofErr w:type="spellStart"/>
      <w:r w:rsidRPr="00322B14">
        <w:t>Doerr</w:t>
      </w:r>
      <w:proofErr w:type="spellEnd"/>
      <w:r>
        <w:t xml:space="preserve"> (2003), </w:t>
      </w:r>
      <w:proofErr w:type="spellStart"/>
      <w:r>
        <w:t>Jordal</w:t>
      </w:r>
      <w:proofErr w:type="spellEnd"/>
      <w:r>
        <w:t xml:space="preserve"> et al. (2004),</w:t>
      </w:r>
      <w:r w:rsidRPr="00322B14">
        <w:t xml:space="preserve"> </w:t>
      </w:r>
      <w:r>
        <w:t xml:space="preserve">and </w:t>
      </w:r>
      <w:proofErr w:type="spellStart"/>
      <w:r>
        <w:t>Vlachidis</w:t>
      </w:r>
      <w:proofErr w:type="spellEnd"/>
      <w:r>
        <w:t xml:space="preserve"> and </w:t>
      </w:r>
      <w:proofErr w:type="spellStart"/>
      <w:r>
        <w:t>Tudhope</w:t>
      </w:r>
      <w:proofErr w:type="spellEnd"/>
      <w:r>
        <w:t xml:space="preserve"> (</w:t>
      </w:r>
      <w:r w:rsidRPr="00322B14">
        <w:t xml:space="preserve">2012). Our project is different since it is designed </w:t>
      </w:r>
      <w:r>
        <w:t xml:space="preserve">from the outset </w:t>
      </w:r>
      <w:r w:rsidRPr="00322B14">
        <w:t xml:space="preserve">to deal with texts in different languages, especially French, </w:t>
      </w:r>
      <w:proofErr w:type="spellStart"/>
      <w:r w:rsidRPr="00322B14">
        <w:t>German</w:t>
      </w:r>
      <w:r>
        <w:t>m</w:t>
      </w:r>
      <w:proofErr w:type="spellEnd"/>
      <w:r w:rsidRPr="00322B14">
        <w:t xml:space="preserve"> and English, with a cross-linguistic perspective. One of the major research issues is the maintenance of an international terminology referring to complex notions that can vary from one country to the other. The system should be flexible enough to be able to match related concepts (even if they vary slightly from one source to the other), but relevant enough so as to provide only relevant information. This goal involves a permanent dialogue between experts of the domain and the maintenance of an up-to-date terminology. The tools and interfaces developed within the project should help to keep this goal a reality as much as possible. </w:t>
      </w:r>
    </w:p>
    <w:p w:rsidR="00922FB7" w:rsidRPr="00322B14" w:rsidRDefault="00922FB7" w:rsidP="002828DD">
      <w:pPr>
        <w:rPr>
          <w:b/>
        </w:rPr>
      </w:pPr>
    </w:p>
    <w:p w:rsidR="00922FB7" w:rsidRPr="00322B14" w:rsidRDefault="00922FB7" w:rsidP="002828DD">
      <w:pPr>
        <w:rPr>
          <w:b/>
          <w:lang w:val="en-GB"/>
        </w:rPr>
      </w:pPr>
      <w:r w:rsidRPr="00322B14">
        <w:rPr>
          <w:b/>
          <w:lang w:val="en-GB"/>
        </w:rPr>
        <w:t>Acknowledgements</w:t>
      </w:r>
    </w:p>
    <w:p w:rsidR="00922FB7" w:rsidRPr="00322B14" w:rsidRDefault="00922FB7" w:rsidP="002828DD">
      <w:pPr>
        <w:rPr>
          <w:lang w:val="en-GB"/>
        </w:rPr>
      </w:pPr>
      <w:r w:rsidRPr="00322B14">
        <w:rPr>
          <w:lang w:val="en-GB"/>
        </w:rPr>
        <w:t xml:space="preserve">This work has received support of Paris Sciences et </w:t>
      </w:r>
      <w:proofErr w:type="spellStart"/>
      <w:r w:rsidRPr="00322B14">
        <w:rPr>
          <w:lang w:val="en-GB"/>
        </w:rPr>
        <w:t>Lettres</w:t>
      </w:r>
      <w:proofErr w:type="spellEnd"/>
      <w:r w:rsidRPr="00322B14">
        <w:rPr>
          <w:lang w:val="en-GB"/>
        </w:rPr>
        <w:t xml:space="preserve"> (program </w:t>
      </w:r>
      <w:r>
        <w:rPr>
          <w:lang w:val="en-GB"/>
        </w:rPr>
        <w:t>‘</w:t>
      </w:r>
      <w:proofErr w:type="spellStart"/>
      <w:r w:rsidRPr="00322B14">
        <w:rPr>
          <w:lang w:val="en-GB"/>
        </w:rPr>
        <w:t>Investissements</w:t>
      </w:r>
      <w:proofErr w:type="spellEnd"/>
      <w:r w:rsidRPr="00322B14">
        <w:rPr>
          <w:lang w:val="en-GB"/>
        </w:rPr>
        <w:t xml:space="preserve"> </w:t>
      </w:r>
      <w:proofErr w:type="spellStart"/>
      <w:r w:rsidRPr="00322B14">
        <w:rPr>
          <w:lang w:val="en-GB"/>
        </w:rPr>
        <w:t>d’avenir</w:t>
      </w:r>
      <w:proofErr w:type="spellEnd"/>
      <w:r>
        <w:rPr>
          <w:lang w:val="en-GB"/>
        </w:rPr>
        <w:t>’</w:t>
      </w:r>
      <w:r w:rsidRPr="00322B14">
        <w:rPr>
          <w:lang w:val="en-GB"/>
        </w:rPr>
        <w:t xml:space="preserve"> ANR-10-IDEX-0001-02 PSL*) and of the </w:t>
      </w:r>
      <w:proofErr w:type="spellStart"/>
      <w:r w:rsidRPr="00322B14">
        <w:rPr>
          <w:lang w:val="en-GB"/>
        </w:rPr>
        <w:t>laboratoire</w:t>
      </w:r>
      <w:proofErr w:type="spellEnd"/>
      <w:r w:rsidRPr="00322B14">
        <w:rPr>
          <w:lang w:val="en-GB"/>
        </w:rPr>
        <w:t xml:space="preserve"> </w:t>
      </w:r>
      <w:proofErr w:type="spellStart"/>
      <w:r w:rsidRPr="00322B14">
        <w:rPr>
          <w:lang w:val="en-GB"/>
        </w:rPr>
        <w:t>d’excellence</w:t>
      </w:r>
      <w:proofErr w:type="spellEnd"/>
      <w:r w:rsidRPr="00322B14">
        <w:rPr>
          <w:lang w:val="en-GB"/>
        </w:rPr>
        <w:t xml:space="preserve"> </w:t>
      </w:r>
      <w:proofErr w:type="spellStart"/>
      <w:r w:rsidRPr="00322B14">
        <w:rPr>
          <w:lang w:val="en-GB"/>
        </w:rPr>
        <w:t>TransferS</w:t>
      </w:r>
      <w:proofErr w:type="spellEnd"/>
      <w:r w:rsidRPr="00322B14">
        <w:rPr>
          <w:lang w:val="en-GB"/>
        </w:rPr>
        <w:t xml:space="preserve"> (ANR-10-LABX</w:t>
      </w:r>
      <w:r w:rsidRPr="00322B14">
        <w:rPr>
          <w:lang w:val="en-GB"/>
        </w:rPr>
        <w:noBreakHyphen/>
        <w:t>0099). The project has been realised during the PEPS CNRS-</w:t>
      </w:r>
      <w:r>
        <w:rPr>
          <w:lang w:val="en-GB"/>
        </w:rPr>
        <w:t>PSL EITAB 2013–</w:t>
      </w:r>
      <w:r w:rsidRPr="00322B14">
        <w:rPr>
          <w:lang w:val="en-GB"/>
        </w:rPr>
        <w:t xml:space="preserve">2014. </w:t>
      </w:r>
    </w:p>
    <w:p w:rsidR="00922FB7" w:rsidRDefault="00922FB7" w:rsidP="00524491">
      <w:pPr>
        <w:ind w:firstLine="720"/>
        <w:rPr>
          <w:color w:val="000000"/>
        </w:rPr>
      </w:pPr>
    </w:p>
    <w:p w:rsidR="00922FB7" w:rsidRPr="001D784B" w:rsidRDefault="00922FB7" w:rsidP="00EF1E89">
      <w:pPr>
        <w:rPr>
          <w:b/>
        </w:rPr>
      </w:pPr>
      <w:r w:rsidRPr="001D784B">
        <w:rPr>
          <w:b/>
        </w:rPr>
        <w:t xml:space="preserve">References </w:t>
      </w:r>
    </w:p>
    <w:p w:rsidR="00922FB7" w:rsidRPr="00322B14" w:rsidRDefault="00922FB7" w:rsidP="002828DD">
      <w:r w:rsidRPr="001D784B">
        <w:rPr>
          <w:b/>
        </w:rPr>
        <w:t xml:space="preserve">Binding, C., May, K. and </w:t>
      </w:r>
      <w:proofErr w:type="spellStart"/>
      <w:r w:rsidRPr="001D784B">
        <w:rPr>
          <w:b/>
        </w:rPr>
        <w:t>Tudhope</w:t>
      </w:r>
      <w:proofErr w:type="spellEnd"/>
      <w:r w:rsidRPr="001D784B">
        <w:rPr>
          <w:b/>
        </w:rPr>
        <w:t xml:space="preserve"> D.</w:t>
      </w:r>
      <w:r w:rsidRPr="00322B14">
        <w:t xml:space="preserve"> (2008). Semantic Interoperability in Archaeological Datasets: Data Mapping and Extraction Via the CIDOC CRM. In </w:t>
      </w:r>
      <w:r w:rsidRPr="001D784B">
        <w:rPr>
          <w:i/>
        </w:rPr>
        <w:t>Research and Advanced Technology for Digital Libraries</w:t>
      </w:r>
      <w:r w:rsidRPr="00322B14">
        <w:t>.</w:t>
      </w:r>
      <w:r>
        <w:t xml:space="preserve"> LNCS 5173.</w:t>
      </w:r>
      <w:r w:rsidRPr="00322B14">
        <w:t xml:space="preserve"> Berlin: Springer</w:t>
      </w:r>
      <w:r>
        <w:t xml:space="preserve">, </w:t>
      </w:r>
      <w:r w:rsidRPr="00322B14">
        <w:t>pp</w:t>
      </w:r>
      <w:r>
        <w:t>.</w:t>
      </w:r>
      <w:r w:rsidRPr="00322B14">
        <w:t xml:space="preserve"> 280</w:t>
      </w:r>
      <w:r>
        <w:t>–</w:t>
      </w:r>
      <w:r w:rsidRPr="00322B14">
        <w:t xml:space="preserve">90. </w:t>
      </w:r>
    </w:p>
    <w:p w:rsidR="00922FB7" w:rsidRPr="00322B14" w:rsidRDefault="00922FB7" w:rsidP="002828DD">
      <w:proofErr w:type="spellStart"/>
      <w:r w:rsidRPr="001D784B">
        <w:rPr>
          <w:b/>
        </w:rPr>
        <w:t>Doerr</w:t>
      </w:r>
      <w:proofErr w:type="spellEnd"/>
      <w:r w:rsidRPr="001D784B">
        <w:rPr>
          <w:b/>
        </w:rPr>
        <w:t>, M.</w:t>
      </w:r>
      <w:r w:rsidRPr="00322B14">
        <w:t xml:space="preserve"> (2003). The CIDOC Conceptual Reference Module: An Ontological Approach to Semantic Interoperability of Metadata. </w:t>
      </w:r>
      <w:r w:rsidRPr="001D784B">
        <w:rPr>
          <w:i/>
        </w:rPr>
        <w:t>AI,</w:t>
      </w:r>
      <w:r w:rsidRPr="00322B14">
        <w:t xml:space="preserve"> </w:t>
      </w:r>
      <w:r w:rsidRPr="004C32AD">
        <w:rPr>
          <w:b/>
        </w:rPr>
        <w:t>24</w:t>
      </w:r>
      <w:r>
        <w:t>(3):</w:t>
      </w:r>
      <w:r w:rsidRPr="00322B14">
        <w:t xml:space="preserve"> 75</w:t>
      </w:r>
      <w:r>
        <w:t>–</w:t>
      </w:r>
      <w:r w:rsidRPr="00322B14">
        <w:t xml:space="preserve">92. </w:t>
      </w:r>
    </w:p>
    <w:p w:rsidR="00922FB7" w:rsidRPr="00322B14" w:rsidRDefault="00922FB7" w:rsidP="002828DD">
      <w:proofErr w:type="spellStart"/>
      <w:r w:rsidRPr="001D784B">
        <w:rPr>
          <w:b/>
        </w:rPr>
        <w:t>Jordal</w:t>
      </w:r>
      <w:proofErr w:type="spellEnd"/>
      <w:r w:rsidRPr="001D784B">
        <w:rPr>
          <w:b/>
        </w:rPr>
        <w:t>, E., Holmen</w:t>
      </w:r>
      <w:r>
        <w:rPr>
          <w:b/>
        </w:rPr>
        <w:t>,</w:t>
      </w:r>
      <w:r w:rsidRPr="001D784B">
        <w:rPr>
          <w:b/>
        </w:rPr>
        <w:t xml:space="preserve"> J. and Olsen</w:t>
      </w:r>
      <w:r>
        <w:rPr>
          <w:b/>
        </w:rPr>
        <w:t>,</w:t>
      </w:r>
      <w:r w:rsidRPr="001D784B">
        <w:rPr>
          <w:b/>
        </w:rPr>
        <w:t xml:space="preserve"> S. A.</w:t>
      </w:r>
      <w:r w:rsidRPr="00322B14">
        <w:t xml:space="preserve"> (2004). From XML-</w:t>
      </w:r>
      <w:r>
        <w:t>T</w:t>
      </w:r>
      <w:r w:rsidRPr="00322B14">
        <w:t>agged Acquisition Catalogues to an Event-</w:t>
      </w:r>
      <w:r>
        <w:t>B</w:t>
      </w:r>
      <w:r w:rsidRPr="00322B14">
        <w:t xml:space="preserve">ased Relational Database. In </w:t>
      </w:r>
      <w:proofErr w:type="spellStart"/>
      <w:r w:rsidRPr="00322B14">
        <w:t>Niccolucci</w:t>
      </w:r>
      <w:proofErr w:type="spellEnd"/>
      <w:r>
        <w:t>, F.</w:t>
      </w:r>
      <w:r w:rsidRPr="00322B14">
        <w:t xml:space="preserve"> (ed.), </w:t>
      </w:r>
      <w:r w:rsidRPr="001D784B">
        <w:rPr>
          <w:i/>
        </w:rPr>
        <w:t>Beyond the Artefact</w:t>
      </w:r>
      <w:r w:rsidRPr="004C32AD">
        <w:rPr>
          <w:i/>
        </w:rPr>
        <w:t>—</w:t>
      </w:r>
      <w:r w:rsidRPr="001D784B">
        <w:rPr>
          <w:i/>
        </w:rPr>
        <w:t>Proceedings of CAA2004</w:t>
      </w:r>
      <w:r>
        <w:t>.</w:t>
      </w:r>
      <w:r w:rsidRPr="00322B14">
        <w:t xml:space="preserve"> </w:t>
      </w:r>
      <w:proofErr w:type="spellStart"/>
      <w:r w:rsidRPr="00322B14">
        <w:t>Archaeolingua</w:t>
      </w:r>
      <w:proofErr w:type="spellEnd"/>
      <w:r w:rsidRPr="00322B14">
        <w:t>, pp</w:t>
      </w:r>
      <w:r>
        <w:t>.</w:t>
      </w:r>
      <w:r w:rsidRPr="00322B14">
        <w:t xml:space="preserve"> 81</w:t>
      </w:r>
      <w:r>
        <w:t>–</w:t>
      </w:r>
      <w:r w:rsidRPr="00322B14">
        <w:t xml:space="preserve">85. </w:t>
      </w:r>
    </w:p>
    <w:p w:rsidR="00922FB7" w:rsidRPr="00EF1E89" w:rsidRDefault="00922FB7" w:rsidP="00EF1E89">
      <w:proofErr w:type="spellStart"/>
      <w:r w:rsidRPr="001D784B">
        <w:rPr>
          <w:b/>
        </w:rPr>
        <w:t>Poibeau</w:t>
      </w:r>
      <w:proofErr w:type="spellEnd"/>
      <w:r w:rsidRPr="001D784B">
        <w:rPr>
          <w:b/>
        </w:rPr>
        <w:t xml:space="preserve">, T., </w:t>
      </w:r>
      <w:proofErr w:type="spellStart"/>
      <w:r w:rsidRPr="001D784B">
        <w:rPr>
          <w:b/>
        </w:rPr>
        <w:t>Saggion</w:t>
      </w:r>
      <w:proofErr w:type="spellEnd"/>
      <w:r w:rsidRPr="001D784B">
        <w:rPr>
          <w:b/>
        </w:rPr>
        <w:t xml:space="preserve">, H., </w:t>
      </w:r>
      <w:proofErr w:type="spellStart"/>
      <w:r w:rsidRPr="001D784B">
        <w:rPr>
          <w:b/>
        </w:rPr>
        <w:t>Piskorski</w:t>
      </w:r>
      <w:proofErr w:type="spellEnd"/>
      <w:r w:rsidRPr="001D784B">
        <w:rPr>
          <w:b/>
        </w:rPr>
        <w:t xml:space="preserve">, J. and </w:t>
      </w:r>
      <w:proofErr w:type="spellStart"/>
      <w:r w:rsidRPr="001D784B">
        <w:rPr>
          <w:b/>
        </w:rPr>
        <w:t>Yangarber</w:t>
      </w:r>
      <w:proofErr w:type="spellEnd"/>
      <w:r w:rsidRPr="001D784B">
        <w:rPr>
          <w:b/>
        </w:rPr>
        <w:t>, R.</w:t>
      </w:r>
      <w:r w:rsidRPr="00EF1E89">
        <w:t xml:space="preserve"> (</w:t>
      </w:r>
      <w:proofErr w:type="spellStart"/>
      <w:r w:rsidRPr="00EF1E89">
        <w:t>eds</w:t>
      </w:r>
      <w:proofErr w:type="spellEnd"/>
      <w:r w:rsidRPr="00EF1E89">
        <w:t xml:space="preserve">). (2013). </w:t>
      </w:r>
      <w:r w:rsidRPr="002828DD">
        <w:rPr>
          <w:i/>
        </w:rPr>
        <w:t xml:space="preserve">Multi-Source, Multilingual Information Extraction and Summarization. </w:t>
      </w:r>
      <w:r w:rsidRPr="002828DD">
        <w:t>Theory and Applications of Natural Language Processing.</w:t>
      </w:r>
      <w:r w:rsidRPr="00EF1E89">
        <w:t xml:space="preserve"> Springer, Berlin. </w:t>
      </w:r>
    </w:p>
    <w:p w:rsidR="00922FB7" w:rsidRPr="00EF1E89" w:rsidRDefault="00922FB7" w:rsidP="00EF1E89">
      <w:r w:rsidRPr="001D784B">
        <w:rPr>
          <w:b/>
        </w:rPr>
        <w:lastRenderedPageBreak/>
        <w:t>Provost, M.</w:t>
      </w:r>
      <w:r w:rsidRPr="00EF1E89">
        <w:t xml:space="preserve"> (ed.). </w:t>
      </w:r>
      <w:r w:rsidRPr="001D784B">
        <w:rPr>
          <w:lang w:val="it-IT"/>
        </w:rPr>
        <w:t xml:space="preserve">(1988–). </w:t>
      </w:r>
      <w:r w:rsidRPr="001D784B">
        <w:rPr>
          <w:i/>
          <w:lang w:val="it-IT"/>
        </w:rPr>
        <w:t>Cartes archéologiques de la Gaule.</w:t>
      </w:r>
      <w:r w:rsidRPr="001D784B">
        <w:rPr>
          <w:lang w:val="it-IT"/>
        </w:rPr>
        <w:t xml:space="preserve"> </w:t>
      </w:r>
      <w:r w:rsidRPr="00322B14">
        <w:t>FMSH editions, 128 vols</w:t>
      </w:r>
      <w:r>
        <w:t>.</w:t>
      </w:r>
      <w:r w:rsidRPr="00322B14">
        <w:t xml:space="preserve"> published to date</w:t>
      </w:r>
      <w:r>
        <w:t>.</w:t>
      </w:r>
      <w:r w:rsidRPr="00322B14">
        <w:t xml:space="preserve"> </w:t>
      </w:r>
      <w:proofErr w:type="spellStart"/>
      <w:r w:rsidRPr="00322B14">
        <w:t>Académie</w:t>
      </w:r>
      <w:proofErr w:type="spellEnd"/>
      <w:r w:rsidRPr="00322B14">
        <w:t xml:space="preserve"> des Inscriptions et Belles </w:t>
      </w:r>
      <w:proofErr w:type="spellStart"/>
      <w:r w:rsidRPr="00322B14">
        <w:t>Lettres</w:t>
      </w:r>
      <w:proofErr w:type="spellEnd"/>
      <w:r>
        <w:t>, Paris</w:t>
      </w:r>
      <w:r w:rsidRPr="00322B14">
        <w:t>.</w:t>
      </w:r>
    </w:p>
    <w:p w:rsidR="00922FB7" w:rsidRPr="00322B14" w:rsidRDefault="00922FB7" w:rsidP="002828DD">
      <w:r w:rsidRPr="001D784B">
        <w:rPr>
          <w:b/>
        </w:rPr>
        <w:t xml:space="preserve">Ruiz, P. and </w:t>
      </w:r>
      <w:proofErr w:type="spellStart"/>
      <w:r w:rsidRPr="001D784B">
        <w:rPr>
          <w:b/>
        </w:rPr>
        <w:t>Poibeau</w:t>
      </w:r>
      <w:proofErr w:type="spellEnd"/>
      <w:r w:rsidRPr="001D784B">
        <w:rPr>
          <w:b/>
        </w:rPr>
        <w:t>, T.</w:t>
      </w:r>
      <w:r w:rsidRPr="00322B14">
        <w:t xml:space="preserve"> (2015). </w:t>
      </w:r>
      <w:r w:rsidRPr="004C32AD">
        <w:t>Entity Linking Combining Open Source Annotators via Weighted Voting.</w:t>
      </w:r>
      <w:r w:rsidRPr="00322B14">
        <w:t xml:space="preserve"> </w:t>
      </w:r>
      <w:r w:rsidRPr="001D784B">
        <w:rPr>
          <w:i/>
        </w:rPr>
        <w:t xml:space="preserve">Proceedings of </w:t>
      </w:r>
      <w:proofErr w:type="spellStart"/>
      <w:r w:rsidRPr="001D784B">
        <w:rPr>
          <w:i/>
        </w:rPr>
        <w:t>Semeval</w:t>
      </w:r>
      <w:proofErr w:type="spellEnd"/>
      <w:r w:rsidRPr="001D784B">
        <w:rPr>
          <w:i/>
        </w:rPr>
        <w:t xml:space="preserve"> 2015.</w:t>
      </w:r>
      <w:r>
        <w:t xml:space="preserve"> Boulder.</w:t>
      </w:r>
    </w:p>
    <w:p w:rsidR="00922FB7" w:rsidRPr="00322B14" w:rsidRDefault="00922FB7" w:rsidP="002828DD">
      <w:proofErr w:type="spellStart"/>
      <w:r w:rsidRPr="001D784B">
        <w:rPr>
          <w:b/>
        </w:rPr>
        <w:t>Vlachidis</w:t>
      </w:r>
      <w:proofErr w:type="spellEnd"/>
      <w:r w:rsidRPr="001D784B">
        <w:rPr>
          <w:b/>
        </w:rPr>
        <w:t xml:space="preserve">, A. and </w:t>
      </w:r>
      <w:proofErr w:type="spellStart"/>
      <w:r w:rsidRPr="001D784B">
        <w:rPr>
          <w:b/>
        </w:rPr>
        <w:t>Tudhope</w:t>
      </w:r>
      <w:proofErr w:type="spellEnd"/>
      <w:r w:rsidRPr="001D784B">
        <w:rPr>
          <w:b/>
        </w:rPr>
        <w:t>, D.</w:t>
      </w:r>
      <w:r w:rsidRPr="00322B14">
        <w:t xml:space="preserve"> (2012). A </w:t>
      </w:r>
      <w:r>
        <w:t>P</w:t>
      </w:r>
      <w:r w:rsidRPr="00322B14">
        <w:t xml:space="preserve">ilot </w:t>
      </w:r>
      <w:r>
        <w:t>In</w:t>
      </w:r>
      <w:r w:rsidRPr="00322B14">
        <w:t xml:space="preserve">vestigation of </w:t>
      </w:r>
      <w:r>
        <w:t>I</w:t>
      </w:r>
      <w:r w:rsidRPr="00322B14">
        <w:t xml:space="preserve">nformation </w:t>
      </w:r>
      <w:r>
        <w:t>E</w:t>
      </w:r>
      <w:r w:rsidRPr="00322B14">
        <w:t xml:space="preserve">xtraction in the </w:t>
      </w:r>
      <w:r>
        <w:t>S</w:t>
      </w:r>
      <w:r w:rsidRPr="00322B14">
        <w:t xml:space="preserve">emantic </w:t>
      </w:r>
      <w:r>
        <w:t>A</w:t>
      </w:r>
      <w:r w:rsidRPr="00322B14">
        <w:t xml:space="preserve">nnotation of </w:t>
      </w:r>
      <w:r>
        <w:t>A</w:t>
      </w:r>
      <w:r w:rsidRPr="00322B14">
        <w:t xml:space="preserve">rchaeological </w:t>
      </w:r>
      <w:r>
        <w:t>R</w:t>
      </w:r>
      <w:r w:rsidRPr="00322B14">
        <w:t xml:space="preserve">eports. </w:t>
      </w:r>
      <w:r w:rsidRPr="001D784B">
        <w:rPr>
          <w:i/>
        </w:rPr>
        <w:t>Interna</w:t>
      </w:r>
      <w:bookmarkStart w:id="0" w:name="_GoBack"/>
      <w:bookmarkEnd w:id="0"/>
      <w:r w:rsidRPr="001D784B">
        <w:rPr>
          <w:i/>
        </w:rPr>
        <w:t>tional Journal of Metadata, Semantics and Ontologies Archive,</w:t>
      </w:r>
      <w:r>
        <w:t xml:space="preserve"> </w:t>
      </w:r>
      <w:r>
        <w:rPr>
          <w:b/>
        </w:rPr>
        <w:t>7</w:t>
      </w:r>
      <w:r>
        <w:t>(3):</w:t>
      </w:r>
      <w:r w:rsidRPr="00322B14">
        <w:t xml:space="preserve"> 222</w:t>
      </w:r>
      <w:r>
        <w:t>–</w:t>
      </w:r>
      <w:r w:rsidRPr="00322B14">
        <w:t xml:space="preserve">35. </w:t>
      </w:r>
    </w:p>
    <w:p w:rsidR="00922FB7" w:rsidRPr="00D22B35" w:rsidRDefault="00922FB7" w:rsidP="00524491"/>
    <w:sectPr w:rsidR="00922FB7" w:rsidRPr="00D22B35" w:rsidSect="00FA2A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B35"/>
    <w:rsid w:val="000006F4"/>
    <w:rsid w:val="00001C5F"/>
    <w:rsid w:val="00002ABF"/>
    <w:rsid w:val="000148F2"/>
    <w:rsid w:val="00056175"/>
    <w:rsid w:val="00060D19"/>
    <w:rsid w:val="00060EF8"/>
    <w:rsid w:val="00064BD0"/>
    <w:rsid w:val="000721AB"/>
    <w:rsid w:val="0007383B"/>
    <w:rsid w:val="000C277A"/>
    <w:rsid w:val="000F33D3"/>
    <w:rsid w:val="00162D13"/>
    <w:rsid w:val="001C5DF4"/>
    <w:rsid w:val="001D555C"/>
    <w:rsid w:val="001D784B"/>
    <w:rsid w:val="001E64A8"/>
    <w:rsid w:val="001F04A4"/>
    <w:rsid w:val="00217720"/>
    <w:rsid w:val="002211EB"/>
    <w:rsid w:val="002244AE"/>
    <w:rsid w:val="00224514"/>
    <w:rsid w:val="00244FC2"/>
    <w:rsid w:val="002452B0"/>
    <w:rsid w:val="00251D53"/>
    <w:rsid w:val="0026117C"/>
    <w:rsid w:val="002828DD"/>
    <w:rsid w:val="00283C1F"/>
    <w:rsid w:val="00284670"/>
    <w:rsid w:val="0028548F"/>
    <w:rsid w:val="00295757"/>
    <w:rsid w:val="00295AC8"/>
    <w:rsid w:val="002A78C0"/>
    <w:rsid w:val="002B77CA"/>
    <w:rsid w:val="002C1F41"/>
    <w:rsid w:val="002D035C"/>
    <w:rsid w:val="002E0F97"/>
    <w:rsid w:val="002E6343"/>
    <w:rsid w:val="002E74CC"/>
    <w:rsid w:val="003119F9"/>
    <w:rsid w:val="00322B14"/>
    <w:rsid w:val="00367C38"/>
    <w:rsid w:val="00377B2C"/>
    <w:rsid w:val="00393F5B"/>
    <w:rsid w:val="00397A24"/>
    <w:rsid w:val="00411240"/>
    <w:rsid w:val="004345A8"/>
    <w:rsid w:val="0046352E"/>
    <w:rsid w:val="00467EE7"/>
    <w:rsid w:val="004B73A3"/>
    <w:rsid w:val="004C32AD"/>
    <w:rsid w:val="004D17CF"/>
    <w:rsid w:val="004E32CD"/>
    <w:rsid w:val="004E4438"/>
    <w:rsid w:val="004F7000"/>
    <w:rsid w:val="00504051"/>
    <w:rsid w:val="00524491"/>
    <w:rsid w:val="00583918"/>
    <w:rsid w:val="005B6C9F"/>
    <w:rsid w:val="005E27E1"/>
    <w:rsid w:val="005E3230"/>
    <w:rsid w:val="006041C9"/>
    <w:rsid w:val="00613017"/>
    <w:rsid w:val="00643644"/>
    <w:rsid w:val="00651B66"/>
    <w:rsid w:val="006562A3"/>
    <w:rsid w:val="0066569C"/>
    <w:rsid w:val="00674A28"/>
    <w:rsid w:val="00691F24"/>
    <w:rsid w:val="006B18F7"/>
    <w:rsid w:val="006D6282"/>
    <w:rsid w:val="006F23C1"/>
    <w:rsid w:val="00710BC0"/>
    <w:rsid w:val="00717A7A"/>
    <w:rsid w:val="00744205"/>
    <w:rsid w:val="00760D71"/>
    <w:rsid w:val="00783A42"/>
    <w:rsid w:val="00785FDB"/>
    <w:rsid w:val="00790334"/>
    <w:rsid w:val="00792474"/>
    <w:rsid w:val="007928EC"/>
    <w:rsid w:val="007C4A4C"/>
    <w:rsid w:val="007D2BF7"/>
    <w:rsid w:val="007F6114"/>
    <w:rsid w:val="00814D35"/>
    <w:rsid w:val="00831A18"/>
    <w:rsid w:val="00842FE1"/>
    <w:rsid w:val="00852392"/>
    <w:rsid w:val="008848CE"/>
    <w:rsid w:val="00895A40"/>
    <w:rsid w:val="008B279C"/>
    <w:rsid w:val="008F15A1"/>
    <w:rsid w:val="0090293F"/>
    <w:rsid w:val="009040EA"/>
    <w:rsid w:val="009123EC"/>
    <w:rsid w:val="00922FB7"/>
    <w:rsid w:val="00943835"/>
    <w:rsid w:val="00967475"/>
    <w:rsid w:val="0098555B"/>
    <w:rsid w:val="009927F9"/>
    <w:rsid w:val="0099652C"/>
    <w:rsid w:val="0099723B"/>
    <w:rsid w:val="009F51BC"/>
    <w:rsid w:val="00A03A96"/>
    <w:rsid w:val="00A05E6C"/>
    <w:rsid w:val="00A122C4"/>
    <w:rsid w:val="00A37590"/>
    <w:rsid w:val="00A63E8A"/>
    <w:rsid w:val="00A73A77"/>
    <w:rsid w:val="00A74281"/>
    <w:rsid w:val="00AF4878"/>
    <w:rsid w:val="00B05200"/>
    <w:rsid w:val="00B06EC9"/>
    <w:rsid w:val="00B209AC"/>
    <w:rsid w:val="00B40011"/>
    <w:rsid w:val="00B84695"/>
    <w:rsid w:val="00B9496B"/>
    <w:rsid w:val="00BA6802"/>
    <w:rsid w:val="00BD3709"/>
    <w:rsid w:val="00BE6470"/>
    <w:rsid w:val="00BF41DE"/>
    <w:rsid w:val="00C00571"/>
    <w:rsid w:val="00C01330"/>
    <w:rsid w:val="00C017CD"/>
    <w:rsid w:val="00C11D92"/>
    <w:rsid w:val="00C2728D"/>
    <w:rsid w:val="00C34135"/>
    <w:rsid w:val="00CA4F3C"/>
    <w:rsid w:val="00CC3CAF"/>
    <w:rsid w:val="00CE2058"/>
    <w:rsid w:val="00D02232"/>
    <w:rsid w:val="00D104C1"/>
    <w:rsid w:val="00D22B35"/>
    <w:rsid w:val="00D8617B"/>
    <w:rsid w:val="00D90B12"/>
    <w:rsid w:val="00DB3761"/>
    <w:rsid w:val="00DC2F89"/>
    <w:rsid w:val="00DD0E9D"/>
    <w:rsid w:val="00DD57BF"/>
    <w:rsid w:val="00DE7035"/>
    <w:rsid w:val="00DF48A5"/>
    <w:rsid w:val="00E222B6"/>
    <w:rsid w:val="00E44958"/>
    <w:rsid w:val="00E51857"/>
    <w:rsid w:val="00E57EDE"/>
    <w:rsid w:val="00EA5378"/>
    <w:rsid w:val="00EF1E89"/>
    <w:rsid w:val="00EF241C"/>
    <w:rsid w:val="00F01E5C"/>
    <w:rsid w:val="00F25C33"/>
    <w:rsid w:val="00F64BE0"/>
    <w:rsid w:val="00FA2A9A"/>
    <w:rsid w:val="00FD18C5"/>
    <w:rsid w:val="00FD44FE"/>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E0660A3-3A5D-4B1F-859B-7A72B712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A9A"/>
    <w:pPr>
      <w:spacing w:line="36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B9496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locked/>
    <w:rsid w:val="00B9496B"/>
    <w:rPr>
      <w:rFonts w:ascii="Segoe UI" w:hAnsi="Segoe UI" w:cs="Segoe UI"/>
      <w:sz w:val="18"/>
      <w:szCs w:val="18"/>
    </w:rPr>
  </w:style>
  <w:style w:type="character" w:styleId="Hyperlink">
    <w:name w:val="Hyperlink"/>
    <w:basedOn w:val="DefaultParagraphFont"/>
    <w:uiPriority w:val="99"/>
    <w:rsid w:val="002828DD"/>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1056</Words>
  <Characters>6020</Characters>
  <Application>Microsoft Office Word</Application>
  <DocSecurity>0</DocSecurity>
  <Lines>50</Lines>
  <Paragraphs>14</Paragraphs>
  <ScaleCrop>false</ScaleCrop>
  <Company/>
  <LinksUpToDate>false</LinksUpToDate>
  <CharactersWithSpaces>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dcterms:created xsi:type="dcterms:W3CDTF">2015-04-23T03:14:00Z</dcterms:created>
  <dcterms:modified xsi:type="dcterms:W3CDTF">2015-05-03T23:53:00Z</dcterms:modified>
</cp:coreProperties>
</file>