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C7" w:rsidRPr="00073BC7" w:rsidRDefault="00073BC7" w:rsidP="00BD098C">
      <w:pPr>
        <w:ind w:firstLine="0"/>
        <w:rPr>
          <w:b/>
          <w:sz w:val="28"/>
          <w:szCs w:val="28"/>
        </w:rPr>
      </w:pPr>
      <w:r w:rsidRPr="00073BC7">
        <w:rPr>
          <w:b/>
          <w:sz w:val="28"/>
          <w:szCs w:val="28"/>
        </w:rPr>
        <w:t>QUAMEN — Watson</w:t>
      </w:r>
    </w:p>
    <w:p w:rsidR="00073BC7" w:rsidRDefault="004B0144" w:rsidP="00BE4804">
      <w:pPr>
        <w:ind w:firstLine="0"/>
      </w:pPr>
      <w:r>
        <w:t>&lt;0 figures&gt;</w:t>
      </w:r>
    </w:p>
    <w:p w:rsidR="004B0144" w:rsidRDefault="00071F15" w:rsidP="00BE4804">
      <w:pPr>
        <w:ind w:firstLine="0"/>
      </w:pPr>
      <w:r>
        <w:t xml:space="preserve"> </w:t>
      </w:r>
      <w:bookmarkStart w:id="0" w:name="_GoBack"/>
      <w:bookmarkEnd w:id="0"/>
    </w:p>
    <w:p w:rsidR="00073BC7" w:rsidRPr="00073BC7" w:rsidRDefault="00073BC7" w:rsidP="00BD098C">
      <w:pPr>
        <w:ind w:firstLine="0"/>
        <w:rPr>
          <w:b/>
        </w:rPr>
      </w:pPr>
      <w:r w:rsidRPr="00073BC7">
        <w:rPr>
          <w:b/>
        </w:rPr>
        <w:t xml:space="preserve">The Watson Network: Using Data Visualization to Analyze Social Networks </w:t>
      </w:r>
    </w:p>
    <w:p w:rsidR="00073BC7" w:rsidRDefault="00073BC7" w:rsidP="00BD098C">
      <w:pPr>
        <w:ind w:firstLine="0"/>
      </w:pPr>
      <w:r w:rsidRPr="00073BC7">
        <w:t>Quamen, H</w:t>
      </w:r>
      <w:r w:rsidR="00BD098C">
        <w:t xml:space="preserve">., </w:t>
      </w:r>
      <w:proofErr w:type="spellStart"/>
      <w:r w:rsidRPr="00073BC7">
        <w:t>Hjartarson</w:t>
      </w:r>
      <w:proofErr w:type="spellEnd"/>
      <w:r w:rsidRPr="00073BC7">
        <w:t>, P</w:t>
      </w:r>
      <w:r w:rsidR="00BD098C">
        <w:t xml:space="preserve">., </w:t>
      </w:r>
      <w:r w:rsidRPr="00073BC7">
        <w:t>Bouchard, M</w:t>
      </w:r>
      <w:r w:rsidR="00BD098C">
        <w:t xml:space="preserve">., </w:t>
      </w:r>
      <w:r w:rsidRPr="00073BC7">
        <w:t xml:space="preserve">van </w:t>
      </w:r>
      <w:proofErr w:type="spellStart"/>
      <w:r w:rsidRPr="00073BC7">
        <w:t>Orden</w:t>
      </w:r>
      <w:proofErr w:type="spellEnd"/>
      <w:r w:rsidRPr="00073BC7">
        <w:t>, N</w:t>
      </w:r>
      <w:r w:rsidR="00BD098C">
        <w:t xml:space="preserve">., </w:t>
      </w:r>
      <w:proofErr w:type="spellStart"/>
      <w:r w:rsidRPr="00073BC7">
        <w:t>Belafi</w:t>
      </w:r>
      <w:proofErr w:type="spellEnd"/>
      <w:r w:rsidRPr="00073BC7">
        <w:t>, V</w:t>
      </w:r>
      <w:r w:rsidR="00BD098C">
        <w:t xml:space="preserve">. and </w:t>
      </w:r>
      <w:r w:rsidRPr="00073BC7">
        <w:t>Johnston, A</w:t>
      </w:r>
      <w:r w:rsidR="00BD098C">
        <w:t xml:space="preserve">. </w:t>
      </w:r>
    </w:p>
    <w:p w:rsidR="00073BC7" w:rsidRDefault="00073BC7" w:rsidP="00BD098C">
      <w:pPr>
        <w:ind w:firstLine="0"/>
      </w:pPr>
    </w:p>
    <w:p w:rsidR="00BD098C" w:rsidRDefault="00BD098C" w:rsidP="00BD098C">
      <w:pPr>
        <w:ind w:firstLine="0"/>
      </w:pPr>
      <w:r>
        <w:t>Th</w:t>
      </w:r>
      <w:r w:rsidR="00073BC7" w:rsidRPr="00073BC7">
        <w:t xml:space="preserve">e Watson Network details the </w:t>
      </w:r>
      <w:r w:rsidR="00441C47">
        <w:t>e</w:t>
      </w:r>
      <w:r w:rsidR="00073BC7" w:rsidRPr="00073BC7">
        <w:t xml:space="preserve">diting </w:t>
      </w:r>
      <w:r w:rsidR="00441C47">
        <w:t>m</w:t>
      </w:r>
      <w:r w:rsidR="00073BC7" w:rsidRPr="00073BC7">
        <w:t>odernism in Canada research team’s recent work on</w:t>
      </w:r>
      <w:r w:rsidR="00073BC7">
        <w:t xml:space="preserve"> </w:t>
      </w:r>
      <w:r w:rsidR="00073BC7" w:rsidRPr="00073BC7">
        <w:t>the social networks of two important mid-century Canadian writers, Wilfred (1911</w:t>
      </w:r>
      <w:r w:rsidR="00441C47">
        <w:t>–</w:t>
      </w:r>
      <w:r w:rsidR="00073BC7" w:rsidRPr="00073BC7">
        <w:t>1998) and</w:t>
      </w:r>
      <w:r w:rsidR="00073BC7">
        <w:t xml:space="preserve"> </w:t>
      </w:r>
      <w:r w:rsidR="00073BC7" w:rsidRPr="00073BC7">
        <w:t>Sheila Watson (1909</w:t>
      </w:r>
      <w:r w:rsidR="00441C47">
        <w:t>–</w:t>
      </w:r>
      <w:r w:rsidR="00073BC7" w:rsidRPr="00073BC7">
        <w:t xml:space="preserve">1998). </w:t>
      </w:r>
      <w:r>
        <w:t>Th</w:t>
      </w:r>
      <w:r w:rsidR="00073BC7" w:rsidRPr="00073BC7">
        <w:t>is research is one component of a larger project funded by the</w:t>
      </w:r>
      <w:r w:rsidR="00073BC7">
        <w:t xml:space="preserve"> </w:t>
      </w:r>
      <w:r w:rsidR="00073BC7" w:rsidRPr="00073BC7">
        <w:t>Social Sciences and Humanities Research Council of Canada to digitize the two writers’ archives—journals, manuscript dra</w:t>
      </w:r>
      <w:r>
        <w:t>ft</w:t>
      </w:r>
      <w:r w:rsidR="00073BC7" w:rsidRPr="00073BC7">
        <w:t>s, notes, sketches, artwork, newspaper clippings, reviews, multimedia</w:t>
      </w:r>
      <w:r w:rsidR="00073BC7">
        <w:t xml:space="preserve"> </w:t>
      </w:r>
      <w:r w:rsidR="00073BC7" w:rsidRPr="00073BC7">
        <w:t>artwork, and correspondence that encompass two lifetimes and that are now distributed between</w:t>
      </w:r>
      <w:r w:rsidR="00073BC7">
        <w:t xml:space="preserve"> </w:t>
      </w:r>
      <w:r w:rsidR="00073BC7" w:rsidRPr="00073BC7">
        <w:t>two universities 1</w:t>
      </w:r>
      <w:r w:rsidR="00441C47">
        <w:t>,</w:t>
      </w:r>
      <w:r w:rsidR="00073BC7" w:rsidRPr="00073BC7">
        <w:t>500 km apart. Wilfred’s archive alone consists of more than 100,000 scanned</w:t>
      </w:r>
      <w:r w:rsidR="00073BC7">
        <w:t xml:space="preserve"> </w:t>
      </w:r>
      <w:r w:rsidR="00073BC7" w:rsidRPr="00073BC7">
        <w:t>items and, as a recent library special collections exhibition has shown (</w:t>
      </w:r>
      <w:r>
        <w:t>Th</w:t>
      </w:r>
      <w:r w:rsidR="00073BC7" w:rsidRPr="00073BC7">
        <w:t xml:space="preserve">e </w:t>
      </w:r>
      <w:r>
        <w:t>Th</w:t>
      </w:r>
      <w:r w:rsidR="00073BC7" w:rsidRPr="00073BC7">
        <w:t>inking Heart),</w:t>
      </w:r>
      <w:r w:rsidR="00073BC7">
        <w:t xml:space="preserve"> </w:t>
      </w:r>
      <w:r w:rsidR="00073BC7" w:rsidRPr="00073BC7">
        <w:t>these two writers collaborated and communicated with a surprising number of intellectual and</w:t>
      </w:r>
      <w:r w:rsidR="00073BC7">
        <w:t xml:space="preserve"> </w:t>
      </w:r>
      <w:r w:rsidR="00073BC7" w:rsidRPr="00073BC7">
        <w:t>artistic communities that included theatre, literature, academia</w:t>
      </w:r>
      <w:r w:rsidR="00441C47">
        <w:t>,</w:t>
      </w:r>
      <w:r w:rsidR="00073BC7" w:rsidRPr="00073BC7">
        <w:t xml:space="preserve"> and visual arts groups across two</w:t>
      </w:r>
      <w:r w:rsidR="00073BC7">
        <w:t xml:space="preserve"> </w:t>
      </w:r>
      <w:r w:rsidR="00073BC7" w:rsidRPr="00073BC7">
        <w:t>continents. Our recent work has generally attempted to use a variety of data visualization</w:t>
      </w:r>
      <w:r w:rsidR="00073BC7">
        <w:t xml:space="preserve"> </w:t>
      </w:r>
      <w:r w:rsidR="00073BC7" w:rsidRPr="00073BC7">
        <w:t>techniques to help us comprehend the shi</w:t>
      </w:r>
      <w:r>
        <w:t>ft</w:t>
      </w:r>
      <w:r w:rsidR="00073BC7" w:rsidRPr="00073BC7">
        <w:t>ing dynamics and complexities of two lifetimes’ worth</w:t>
      </w:r>
      <w:r w:rsidR="00073BC7">
        <w:t xml:space="preserve"> </w:t>
      </w:r>
      <w:r w:rsidR="00073BC7" w:rsidRPr="00073BC7">
        <w:t>of collaboration, collegiality</w:t>
      </w:r>
      <w:r w:rsidR="00441C47">
        <w:t>,</w:t>
      </w:r>
      <w:r w:rsidR="00073BC7" w:rsidRPr="00073BC7">
        <w:t xml:space="preserve"> and friendship (see, for example, </w:t>
      </w:r>
      <w:r>
        <w:t>Th</w:t>
      </w:r>
      <w:r w:rsidR="00073BC7" w:rsidRPr="00073BC7">
        <w:t>e Watson-McLuhan</w:t>
      </w:r>
      <w:r w:rsidR="00073BC7">
        <w:t xml:space="preserve"> </w:t>
      </w:r>
      <w:r w:rsidR="00073BC7" w:rsidRPr="00073BC7">
        <w:t>Correspondence, available online).</w:t>
      </w:r>
      <w:r w:rsidR="00073BC7">
        <w:t xml:space="preserve"> </w:t>
      </w:r>
    </w:p>
    <w:p w:rsidR="00BD098C" w:rsidRDefault="00BD098C" w:rsidP="00073BC7">
      <w:r>
        <w:t>Th</w:t>
      </w:r>
      <w:r w:rsidR="00073BC7" w:rsidRPr="00073BC7">
        <w:t xml:space="preserve">is particular project, </w:t>
      </w:r>
      <w:r>
        <w:t>Th</w:t>
      </w:r>
      <w:r w:rsidR="00073BC7" w:rsidRPr="00073BC7">
        <w:t>e Watson Network, uses force-directed graph visualizations and</w:t>
      </w:r>
      <w:r w:rsidR="00073BC7">
        <w:t xml:space="preserve"> </w:t>
      </w:r>
      <w:r w:rsidR="00073BC7" w:rsidRPr="00073BC7">
        <w:t>timeline chronologies to help us map the Watsons’ participation in social networks and to</w:t>
      </w:r>
      <w:r w:rsidR="00073BC7">
        <w:t xml:space="preserve"> </w:t>
      </w:r>
      <w:r w:rsidR="00073BC7" w:rsidRPr="00073BC7">
        <w:t>understand how those interactions helped to shape their respective intellectual and artistic</w:t>
      </w:r>
      <w:r w:rsidR="00073BC7">
        <w:t xml:space="preserve"> </w:t>
      </w:r>
      <w:r w:rsidR="00073BC7" w:rsidRPr="00073BC7">
        <w:t>development. Recent biographies and literary appreciations (</w:t>
      </w:r>
      <w:proofErr w:type="spellStart"/>
      <w:r w:rsidR="00073BC7" w:rsidRPr="00073BC7">
        <w:t>Flahiff</w:t>
      </w:r>
      <w:proofErr w:type="spellEnd"/>
      <w:r w:rsidR="00441C47">
        <w:t>, 2005</w:t>
      </w:r>
      <w:r w:rsidR="00073BC7" w:rsidRPr="00073BC7">
        <w:t xml:space="preserve">; </w:t>
      </w:r>
      <w:proofErr w:type="spellStart"/>
      <w:r w:rsidR="00073BC7" w:rsidRPr="00073BC7">
        <w:t>Hjartarson</w:t>
      </w:r>
      <w:proofErr w:type="spellEnd"/>
      <w:r w:rsidR="00073BC7" w:rsidRPr="00073BC7">
        <w:t xml:space="preserve"> and </w:t>
      </w:r>
      <w:proofErr w:type="spellStart"/>
      <w:r w:rsidR="00073BC7" w:rsidRPr="00073BC7">
        <w:t>Neuman</w:t>
      </w:r>
      <w:proofErr w:type="spellEnd"/>
      <w:r w:rsidR="00441C47">
        <w:t>, 2014</w:t>
      </w:r>
      <w:r w:rsidR="00073BC7" w:rsidRPr="00073BC7">
        <w:t>)</w:t>
      </w:r>
      <w:r w:rsidR="00073BC7">
        <w:t xml:space="preserve"> </w:t>
      </w:r>
      <w:r w:rsidR="00073BC7" w:rsidRPr="00073BC7">
        <w:t>have provided insightful overviews of important relationships and aesthetic growth. Our project</w:t>
      </w:r>
      <w:r w:rsidR="00073BC7">
        <w:t xml:space="preserve"> </w:t>
      </w:r>
      <w:r w:rsidR="00073BC7" w:rsidRPr="00073BC7">
        <w:t xml:space="preserve">here extends that work by attempting to </w:t>
      </w:r>
      <w:r w:rsidR="00441C47">
        <w:t>‘</w:t>
      </w:r>
      <w:r w:rsidR="00073BC7" w:rsidRPr="00073BC7">
        <w:t>zoom in</w:t>
      </w:r>
      <w:r w:rsidR="00441C47">
        <w:t>’</w:t>
      </w:r>
      <w:r w:rsidR="00073BC7" w:rsidRPr="00073BC7">
        <w:t xml:space="preserve"> to reveal the speci</w:t>
      </w:r>
      <w:r>
        <w:t>fi</w:t>
      </w:r>
      <w:r w:rsidR="00073BC7" w:rsidRPr="00073BC7">
        <w:t>c details and events that</w:t>
      </w:r>
      <w:r w:rsidR="00073BC7">
        <w:t xml:space="preserve"> </w:t>
      </w:r>
      <w:r w:rsidR="00073BC7" w:rsidRPr="00073BC7">
        <w:t>ground those analyses. While social relationships and artistic development may be easily</w:t>
      </w:r>
      <w:r w:rsidR="00073BC7">
        <w:t xml:space="preserve"> </w:t>
      </w:r>
      <w:r w:rsidR="00073BC7" w:rsidRPr="00073BC7">
        <w:t>summarized (for example, Wilfred taught at the University of Alberta from 1954 to 1977; his</w:t>
      </w:r>
      <w:r w:rsidR="00073BC7">
        <w:t xml:space="preserve"> </w:t>
      </w:r>
      <w:r w:rsidR="00073BC7" w:rsidRPr="00073BC7">
        <w:t>career moved from poetry to drama and back to poetry), we are seeking to make visible those</w:t>
      </w:r>
      <w:r w:rsidR="00073BC7">
        <w:t xml:space="preserve"> </w:t>
      </w:r>
      <w:r w:rsidR="00073BC7" w:rsidRPr="00073BC7">
        <w:t>dynamics at a smaller</w:t>
      </w:r>
      <w:r w:rsidR="00441C47">
        <w:t>,</w:t>
      </w:r>
      <w:r w:rsidR="00073BC7" w:rsidRPr="00073BC7">
        <w:t xml:space="preserve"> granular level: that of the </w:t>
      </w:r>
      <w:r w:rsidR="00073BC7" w:rsidRPr="00073BC7">
        <w:rPr>
          <w:i/>
          <w:iCs/>
        </w:rPr>
        <w:t xml:space="preserve">event </w:t>
      </w:r>
      <w:r w:rsidR="00073BC7" w:rsidRPr="00073BC7">
        <w:t xml:space="preserve">and its </w:t>
      </w:r>
      <w:r w:rsidR="00073BC7" w:rsidRPr="00073BC7">
        <w:rPr>
          <w:i/>
          <w:iCs/>
        </w:rPr>
        <w:t>participants</w:t>
      </w:r>
      <w:r w:rsidR="00073BC7" w:rsidRPr="00073BC7">
        <w:t>.</w:t>
      </w:r>
      <w:r w:rsidR="00073BC7">
        <w:t xml:space="preserve"> </w:t>
      </w:r>
    </w:p>
    <w:p w:rsidR="00BD098C" w:rsidRDefault="00BD098C" w:rsidP="00073BC7"/>
    <w:p w:rsidR="00BD098C" w:rsidRPr="00BE4804" w:rsidRDefault="00073BC7" w:rsidP="00BD098C">
      <w:pPr>
        <w:ind w:firstLine="0"/>
        <w:rPr>
          <w:b/>
        </w:rPr>
      </w:pPr>
      <w:r w:rsidRPr="00BE4804">
        <w:rPr>
          <w:b/>
        </w:rPr>
        <w:t xml:space="preserve">Methodology </w:t>
      </w:r>
    </w:p>
    <w:p w:rsidR="00BD098C" w:rsidRDefault="00073BC7" w:rsidP="00BD098C">
      <w:pPr>
        <w:ind w:firstLine="0"/>
      </w:pPr>
      <w:r w:rsidRPr="00073BC7">
        <w:t>Our work de</w:t>
      </w:r>
      <w:r w:rsidR="00BD098C">
        <w:t>fi</w:t>
      </w:r>
      <w:r w:rsidRPr="00073BC7">
        <w:t xml:space="preserve">nes an </w:t>
      </w:r>
      <w:r w:rsidRPr="00073BC7">
        <w:rPr>
          <w:i/>
          <w:iCs/>
        </w:rPr>
        <w:t xml:space="preserve">event </w:t>
      </w:r>
      <w:r w:rsidRPr="00073BC7">
        <w:t>as a particular material trace that is locatable in space and time—a</w:t>
      </w:r>
      <w:r>
        <w:t xml:space="preserve"> </w:t>
      </w:r>
      <w:r w:rsidRPr="00073BC7">
        <w:t>letter, a meeting, a publication, a manuscript dra</w:t>
      </w:r>
      <w:r w:rsidR="00BD098C">
        <w:t>ft</w:t>
      </w:r>
      <w:r w:rsidRPr="00073BC7">
        <w:t>, a theatrical production. Because we work so</w:t>
      </w:r>
      <w:r>
        <w:t xml:space="preserve"> </w:t>
      </w:r>
      <w:r w:rsidRPr="00073BC7">
        <w:t>closely with the literary archive, our de</w:t>
      </w:r>
      <w:r w:rsidR="00BD098C">
        <w:t>fi</w:t>
      </w:r>
      <w:r w:rsidRPr="00073BC7">
        <w:t>nition is less strict than other groups like CIDOC-CRM,</w:t>
      </w:r>
      <w:r>
        <w:t xml:space="preserve"> </w:t>
      </w:r>
      <w:r w:rsidRPr="00073BC7">
        <w:t xml:space="preserve">for example, </w:t>
      </w:r>
      <w:r w:rsidR="00441C47">
        <w:t>which</w:t>
      </w:r>
      <w:r w:rsidR="00441C47" w:rsidRPr="00073BC7">
        <w:t xml:space="preserve"> </w:t>
      </w:r>
      <w:r w:rsidRPr="00073BC7">
        <w:t xml:space="preserve">suggest that </w:t>
      </w:r>
      <w:r w:rsidR="00441C47">
        <w:t>‘</w:t>
      </w:r>
      <w:r w:rsidRPr="00073BC7">
        <w:t>events</w:t>
      </w:r>
      <w:r w:rsidR="00441C47">
        <w:t>’</w:t>
      </w:r>
      <w:r w:rsidRPr="00073BC7">
        <w:t xml:space="preserve"> are </w:t>
      </w:r>
      <w:r w:rsidR="00441C47">
        <w:t>‘</w:t>
      </w:r>
      <w:r w:rsidRPr="00073BC7">
        <w:t>changes of states in cultural, social or physical</w:t>
      </w:r>
      <w:r>
        <w:t xml:space="preserve"> </w:t>
      </w:r>
      <w:r w:rsidRPr="00073BC7">
        <w:t>systems, regardless of scale, brought about by a series or group of coherent physical, cultural,</w:t>
      </w:r>
      <w:r>
        <w:t xml:space="preserve"> </w:t>
      </w:r>
      <w:r w:rsidRPr="00073BC7">
        <w:t>technological or legal phenomena</w:t>
      </w:r>
      <w:r w:rsidR="00441C47">
        <w:t>’</w:t>
      </w:r>
      <w:r w:rsidRPr="00073BC7">
        <w:t xml:space="preserve"> (Cro</w:t>
      </w:r>
      <w:r w:rsidR="00BD098C">
        <w:t>ft</w:t>
      </w:r>
      <w:r w:rsidRPr="00073BC7">
        <w:t>s et al.</w:t>
      </w:r>
      <w:r w:rsidR="00441C47">
        <w:t>, 2003,</w:t>
      </w:r>
      <w:r w:rsidRPr="00073BC7">
        <w:t xml:space="preserve"> 3). By capturing metadata about that event and</w:t>
      </w:r>
      <w:r>
        <w:t xml:space="preserve"> </w:t>
      </w:r>
      <w:r w:rsidRPr="00073BC7">
        <w:t>its participants in a database, we can then query for associations in speci</w:t>
      </w:r>
      <w:r w:rsidR="00BD098C">
        <w:t>fi</w:t>
      </w:r>
      <w:r w:rsidRPr="00073BC7">
        <w:t>c time periods, in</w:t>
      </w:r>
      <w:r>
        <w:t xml:space="preserve"> </w:t>
      </w:r>
      <w:r w:rsidRPr="00073BC7">
        <w:t>speci</w:t>
      </w:r>
      <w:r w:rsidR="00BD098C">
        <w:t>fi</w:t>
      </w:r>
      <w:r w:rsidRPr="00073BC7">
        <w:t>c locations</w:t>
      </w:r>
      <w:r w:rsidR="00441C47">
        <w:t>,</w:t>
      </w:r>
      <w:r w:rsidRPr="00073BC7">
        <w:t xml:space="preserve"> or can measure the frequency of associations through time.</w:t>
      </w:r>
      <w:r>
        <w:t xml:space="preserve"> </w:t>
      </w:r>
    </w:p>
    <w:p w:rsidR="00BD098C" w:rsidRDefault="00BD098C" w:rsidP="00BD098C">
      <w:r>
        <w:t>Th</w:t>
      </w:r>
      <w:r w:rsidR="00073BC7" w:rsidRPr="00073BC7">
        <w:t>e social network component of our larger archival project entails two signi</w:t>
      </w:r>
      <w:r>
        <w:t>fi</w:t>
      </w:r>
      <w:r w:rsidR="00073BC7" w:rsidRPr="00073BC7">
        <w:t>cant</w:t>
      </w:r>
      <w:r w:rsidR="00073BC7">
        <w:t xml:space="preserve"> </w:t>
      </w:r>
      <w:r w:rsidR="00073BC7" w:rsidRPr="00073BC7">
        <w:t>methodological choices</w:t>
      </w:r>
      <w:r w:rsidR="00441C47">
        <w:t xml:space="preserve">. First, </w:t>
      </w:r>
      <w:r w:rsidR="00073BC7" w:rsidRPr="00073BC7">
        <w:t xml:space="preserve">like many other contemporary DH projects, we are making </w:t>
      </w:r>
      <w:r w:rsidR="00073BC7" w:rsidRPr="00073BC7">
        <w:rPr>
          <w:i/>
          <w:iCs/>
        </w:rPr>
        <w:t>data</w:t>
      </w:r>
      <w:r w:rsidR="00073BC7">
        <w:rPr>
          <w:i/>
          <w:iCs/>
        </w:rPr>
        <w:t xml:space="preserve"> </w:t>
      </w:r>
      <w:r w:rsidR="00073BC7" w:rsidRPr="00073BC7">
        <w:t xml:space="preserve">rather than XML </w:t>
      </w:r>
      <w:r w:rsidR="00073BC7" w:rsidRPr="00073BC7">
        <w:rPr>
          <w:i/>
          <w:iCs/>
        </w:rPr>
        <w:t xml:space="preserve">documents </w:t>
      </w:r>
      <w:r w:rsidR="00073BC7" w:rsidRPr="00073BC7">
        <w:t xml:space="preserve">the central core of this particular analysis. </w:t>
      </w:r>
      <w:r>
        <w:lastRenderedPageBreak/>
        <w:t>Th</w:t>
      </w:r>
      <w:r w:rsidR="00073BC7" w:rsidRPr="00073BC7">
        <w:t>e problems and choices</w:t>
      </w:r>
      <w:r w:rsidR="00073BC7">
        <w:t xml:space="preserve"> </w:t>
      </w:r>
      <w:r w:rsidR="00073BC7" w:rsidRPr="00073BC7">
        <w:t>we are engaging—about capturing metadata, analyzing complex relationships between objects</w:t>
      </w:r>
      <w:r w:rsidR="00073BC7">
        <w:t xml:space="preserve"> </w:t>
      </w:r>
      <w:r w:rsidR="00073BC7" w:rsidRPr="00073BC7">
        <w:t>and people, tracking events of various kinds, and generally working with data at scales that some</w:t>
      </w:r>
      <w:r w:rsidR="00073BC7">
        <w:t xml:space="preserve"> </w:t>
      </w:r>
      <w:r w:rsidR="00073BC7" w:rsidRPr="00073BC7">
        <w:t xml:space="preserve">humanists might increasingly call </w:t>
      </w:r>
      <w:r w:rsidR="00441C47">
        <w:t>‘</w:t>
      </w:r>
      <w:r w:rsidR="00073BC7" w:rsidRPr="00073BC7">
        <w:t>big</w:t>
      </w:r>
      <w:r w:rsidR="00441C47">
        <w:t>’</w:t>
      </w:r>
      <w:r w:rsidR="00073BC7" w:rsidRPr="00073BC7">
        <w:t>—shi</w:t>
      </w:r>
      <w:r>
        <w:t>ft</w:t>
      </w:r>
      <w:r w:rsidR="00073BC7" w:rsidRPr="00073BC7">
        <w:t xml:space="preserve"> our research questions away from those that could</w:t>
      </w:r>
      <w:r w:rsidR="00073BC7">
        <w:t xml:space="preserve"> </w:t>
      </w:r>
      <w:r w:rsidR="00073BC7" w:rsidRPr="00073BC7">
        <w:t>be answered by a singular, textual edition marked up with annotations. Instead, we are moving</w:t>
      </w:r>
      <w:r w:rsidR="00073BC7">
        <w:t xml:space="preserve"> </w:t>
      </w:r>
      <w:r w:rsidR="00073BC7" w:rsidRPr="00073BC7">
        <w:t>towards pattern, chronology, relationship, and other modes of engagement that are made possible</w:t>
      </w:r>
      <w:r w:rsidR="00073BC7">
        <w:t xml:space="preserve"> </w:t>
      </w:r>
      <w:r w:rsidR="00073BC7" w:rsidRPr="00073BC7">
        <w:t>by the aggregation of disparate, even unrelated, data. Second, data visualization is an</w:t>
      </w:r>
      <w:r w:rsidR="00073BC7">
        <w:t xml:space="preserve"> </w:t>
      </w:r>
      <w:r w:rsidR="00073BC7" w:rsidRPr="00073BC7">
        <w:t xml:space="preserve">important technique both </w:t>
      </w:r>
      <w:r w:rsidR="00C45875">
        <w:t xml:space="preserve">for </w:t>
      </w:r>
      <w:r w:rsidR="00073BC7" w:rsidRPr="00073BC7">
        <w:t xml:space="preserve">working with </w:t>
      </w:r>
      <w:proofErr w:type="spellStart"/>
      <w:r w:rsidR="00073BC7" w:rsidRPr="00073BC7">
        <w:t>nontextual</w:t>
      </w:r>
      <w:proofErr w:type="spellEnd"/>
      <w:r w:rsidR="00073BC7" w:rsidRPr="00073BC7">
        <w:t xml:space="preserve"> data and </w:t>
      </w:r>
      <w:r w:rsidR="00C45875">
        <w:t xml:space="preserve">for </w:t>
      </w:r>
      <w:r w:rsidR="00073BC7" w:rsidRPr="00073BC7">
        <w:t>providing a useful interface</w:t>
      </w:r>
      <w:r w:rsidR="00073BC7">
        <w:t xml:space="preserve"> </w:t>
      </w:r>
      <w:r w:rsidR="00073BC7" w:rsidRPr="00073BC7">
        <w:t xml:space="preserve">for scholars and researchers. </w:t>
      </w:r>
      <w:r>
        <w:t>Th</w:t>
      </w:r>
      <w:r w:rsidR="00073BC7" w:rsidRPr="00073BC7">
        <w:t xml:space="preserve">e common </w:t>
      </w:r>
      <w:r w:rsidR="00441C47">
        <w:t>‘</w:t>
      </w:r>
      <w:r w:rsidR="00073BC7" w:rsidRPr="00073BC7">
        <w:t>keyhole</w:t>
      </w:r>
      <w:r w:rsidR="00441C47">
        <w:t>’</w:t>
      </w:r>
      <w:r w:rsidR="00073BC7" w:rsidRPr="00073BC7">
        <w:t xml:space="preserve"> search interfaces that help us </w:t>
      </w:r>
      <w:r>
        <w:t>fi</w:t>
      </w:r>
      <w:r w:rsidR="00073BC7" w:rsidRPr="00073BC7">
        <w:t xml:space="preserve">nd </w:t>
      </w:r>
      <w:r w:rsidR="00441C47">
        <w:t>‘</w:t>
      </w:r>
      <w:r w:rsidR="00073BC7" w:rsidRPr="00073BC7">
        <w:t>needles</w:t>
      </w:r>
      <w:r w:rsidR="00073BC7">
        <w:t xml:space="preserve"> </w:t>
      </w:r>
      <w:r w:rsidR="00073BC7" w:rsidRPr="00073BC7">
        <w:t>in haystacks</w:t>
      </w:r>
      <w:r w:rsidR="00441C47">
        <w:t>’</w:t>
      </w:r>
      <w:r w:rsidR="00073BC7" w:rsidRPr="00073BC7">
        <w:t xml:space="preserve"> (perhaps most recognizable as Google’s home page) fail to allow scholars to see</w:t>
      </w:r>
      <w:r w:rsidR="00073BC7">
        <w:t xml:space="preserve"> </w:t>
      </w:r>
      <w:r w:rsidR="00073BC7" w:rsidRPr="00073BC7">
        <w:t xml:space="preserve">larger patterns and chronological developments. </w:t>
      </w:r>
      <w:r>
        <w:t>Th</w:t>
      </w:r>
      <w:r w:rsidR="00073BC7" w:rsidRPr="00073BC7">
        <w:t>e aggregation of different datasets exacerbates</w:t>
      </w:r>
      <w:r w:rsidR="00073BC7">
        <w:t xml:space="preserve"> </w:t>
      </w:r>
      <w:r w:rsidR="00073BC7" w:rsidRPr="00073BC7">
        <w:t>this problem. Our various attempts to provide faceted browsing interfaces help us to understand</w:t>
      </w:r>
      <w:r w:rsidR="00073BC7">
        <w:t xml:space="preserve"> </w:t>
      </w:r>
      <w:r w:rsidR="00073BC7" w:rsidRPr="00073BC7">
        <w:t>the dynamics of the data that we are extracting from the archive</w:t>
      </w:r>
      <w:r w:rsidR="00C45875">
        <w:t>,</w:t>
      </w:r>
      <w:r w:rsidR="00073BC7" w:rsidRPr="00073BC7">
        <w:t xml:space="preserve"> but we have not thus far found</w:t>
      </w:r>
      <w:r w:rsidR="00073BC7">
        <w:t xml:space="preserve"> </w:t>
      </w:r>
      <w:r w:rsidR="00073BC7" w:rsidRPr="00073BC7">
        <w:t>one preferred interface.</w:t>
      </w:r>
      <w:r w:rsidR="00073BC7">
        <w:t xml:space="preserve"> </w:t>
      </w:r>
    </w:p>
    <w:p w:rsidR="00BD098C" w:rsidRDefault="00073BC7" w:rsidP="00BD098C">
      <w:r w:rsidRPr="00073BC7">
        <w:t>In other words, then, our current shi</w:t>
      </w:r>
      <w:r w:rsidR="00BD098C">
        <w:t>ft</w:t>
      </w:r>
      <w:r w:rsidRPr="00073BC7">
        <w:t xml:space="preserve"> towards </w:t>
      </w:r>
      <w:r w:rsidR="00441C47">
        <w:t>‘</w:t>
      </w:r>
      <w:r w:rsidRPr="00073BC7">
        <w:t>data rather than document</w:t>
      </w:r>
      <w:r w:rsidR="00441C47">
        <w:t>’</w:t>
      </w:r>
      <w:r w:rsidRPr="00073BC7">
        <w:t xml:space="preserve"> makes possible new</w:t>
      </w:r>
      <w:r>
        <w:t xml:space="preserve"> </w:t>
      </w:r>
      <w:r w:rsidRPr="00073BC7">
        <w:t>kinds of interactions with the archive itself. We are engaging a series of questions: Does thinking</w:t>
      </w:r>
      <w:r>
        <w:t xml:space="preserve"> </w:t>
      </w:r>
      <w:r w:rsidRPr="00073BC7">
        <w:t xml:space="preserve">about the Watson archive as </w:t>
      </w:r>
      <w:r w:rsidRPr="00073BC7">
        <w:rPr>
          <w:i/>
          <w:iCs/>
        </w:rPr>
        <w:t xml:space="preserve">data </w:t>
      </w:r>
      <w:r w:rsidRPr="00073BC7">
        <w:t xml:space="preserve">rather than a </w:t>
      </w:r>
      <w:r w:rsidRPr="00073BC7">
        <w:rPr>
          <w:i/>
          <w:iCs/>
        </w:rPr>
        <w:t>document</w:t>
      </w:r>
      <w:r w:rsidRPr="00073BC7">
        <w:t>, in other words, allow us to ask new</w:t>
      </w:r>
      <w:r>
        <w:t xml:space="preserve"> </w:t>
      </w:r>
      <w:r w:rsidRPr="00073BC7">
        <w:t>kinds of questions about the shape and scope of a literary career? Does it allow us to interact with</w:t>
      </w:r>
      <w:r>
        <w:t xml:space="preserve"> </w:t>
      </w:r>
      <w:r w:rsidRPr="00073BC7">
        <w:t>the archival materials in new ways? And are new patterns of intellectual in</w:t>
      </w:r>
      <w:r w:rsidR="00BD098C">
        <w:t>fl</w:t>
      </w:r>
      <w:r w:rsidRPr="00073BC7">
        <w:t>uence made visible in</w:t>
      </w:r>
      <w:r>
        <w:t xml:space="preserve"> </w:t>
      </w:r>
      <w:r w:rsidRPr="00073BC7">
        <w:t xml:space="preserve">the move towards greater quantities of more </w:t>
      </w:r>
      <w:r w:rsidR="00BD098C">
        <w:t>fi</w:t>
      </w:r>
      <w:r w:rsidRPr="00073BC7">
        <w:t>nely grained data?</w:t>
      </w:r>
      <w:r>
        <w:t xml:space="preserve"> </w:t>
      </w:r>
    </w:p>
    <w:p w:rsidR="00BD098C" w:rsidRDefault="00BD098C" w:rsidP="00BD098C"/>
    <w:p w:rsidR="00BD098C" w:rsidRPr="00BD098C" w:rsidRDefault="00073BC7" w:rsidP="00BD098C">
      <w:pPr>
        <w:ind w:firstLine="0"/>
        <w:rPr>
          <w:b/>
        </w:rPr>
      </w:pPr>
      <w:r w:rsidRPr="00BD098C">
        <w:rPr>
          <w:b/>
        </w:rPr>
        <w:t xml:space="preserve">Results </w:t>
      </w:r>
    </w:p>
    <w:p w:rsidR="00BD098C" w:rsidRDefault="00073BC7" w:rsidP="00BD098C">
      <w:pPr>
        <w:ind w:firstLine="0"/>
      </w:pPr>
      <w:r w:rsidRPr="00073BC7">
        <w:t>By collecting data on a variety of personal and professional events—metadata from</w:t>
      </w:r>
      <w:r>
        <w:t xml:space="preserve"> </w:t>
      </w:r>
      <w:r w:rsidRPr="00073BC7">
        <w:t>correspondence; collaborations with actors, designers</w:t>
      </w:r>
      <w:r w:rsidR="00C45875">
        <w:t>,</w:t>
      </w:r>
      <w:r w:rsidRPr="00073BC7">
        <w:t xml:space="preserve"> and directors on plays; co-authorship on</w:t>
      </w:r>
      <w:r>
        <w:t xml:space="preserve"> </w:t>
      </w:r>
      <w:r w:rsidRPr="00073BC7">
        <w:t xml:space="preserve">academic monographs—we have more accurately delineated </w:t>
      </w:r>
      <w:r w:rsidRPr="00073BC7">
        <w:rPr>
          <w:i/>
          <w:iCs/>
        </w:rPr>
        <w:t xml:space="preserve">who </w:t>
      </w:r>
      <w:r w:rsidRPr="00073BC7">
        <w:t>participated in these social</w:t>
      </w:r>
      <w:r>
        <w:t xml:space="preserve"> </w:t>
      </w:r>
      <w:r w:rsidRPr="00073BC7">
        <w:t xml:space="preserve">networks, </w:t>
      </w:r>
      <w:r w:rsidRPr="00073BC7">
        <w:rPr>
          <w:i/>
          <w:iCs/>
        </w:rPr>
        <w:t xml:space="preserve">when </w:t>
      </w:r>
      <w:r w:rsidRPr="00073BC7">
        <w:t>they participated</w:t>
      </w:r>
      <w:r w:rsidR="00C45875">
        <w:t>,</w:t>
      </w:r>
      <w:r w:rsidRPr="00073BC7">
        <w:t xml:space="preserve"> and </w:t>
      </w:r>
      <w:r w:rsidRPr="00073BC7">
        <w:rPr>
          <w:i/>
          <w:iCs/>
        </w:rPr>
        <w:t xml:space="preserve">how intensely </w:t>
      </w:r>
      <w:r w:rsidRPr="00073BC7">
        <w:t>the participants interacted. Journals from a</w:t>
      </w:r>
      <w:r>
        <w:t xml:space="preserve"> </w:t>
      </w:r>
      <w:r w:rsidRPr="00073BC7">
        <w:t>year spent in Paris in the mid-1950s, for example, have revealed an intricate network of</w:t>
      </w:r>
      <w:r>
        <w:t xml:space="preserve"> </w:t>
      </w:r>
      <w:r w:rsidRPr="00073BC7">
        <w:t>international scholars and theatre practitioners. Individual letters have helped us to understand</w:t>
      </w:r>
      <w:r>
        <w:t xml:space="preserve"> </w:t>
      </w:r>
      <w:r w:rsidRPr="00073BC7">
        <w:t>the chronology and dra</w:t>
      </w:r>
      <w:r w:rsidR="00BD098C">
        <w:t>ft</w:t>
      </w:r>
      <w:r w:rsidRPr="00073BC7">
        <w:t>ing processes o</w:t>
      </w:r>
      <w:r w:rsidR="00C45875">
        <w:t>f</w:t>
      </w:r>
      <w:r w:rsidRPr="00073BC7">
        <w:t xml:space="preserve"> Wilfred’s collaboration with Marshall McLuhan on</w:t>
      </w:r>
      <w:r>
        <w:t xml:space="preserve"> </w:t>
      </w:r>
      <w:r w:rsidRPr="00073BC7">
        <w:rPr>
          <w:i/>
          <w:iCs/>
        </w:rPr>
        <w:t xml:space="preserve">From Cliché to Archetype </w:t>
      </w:r>
      <w:r w:rsidRPr="00073BC7">
        <w:t>(1970). Tracking Wilfred’s theatre collaborations leading up to</w:t>
      </w:r>
      <w:r>
        <w:t xml:space="preserve"> </w:t>
      </w:r>
      <w:r w:rsidRPr="00073BC7">
        <w:t xml:space="preserve">productions of plays like </w:t>
      </w:r>
      <w:proofErr w:type="spellStart"/>
      <w:r w:rsidRPr="00073BC7">
        <w:rPr>
          <w:i/>
          <w:iCs/>
        </w:rPr>
        <w:t>Cockrow</w:t>
      </w:r>
      <w:proofErr w:type="spellEnd"/>
      <w:r w:rsidRPr="00073BC7">
        <w:rPr>
          <w:i/>
          <w:iCs/>
        </w:rPr>
        <w:t xml:space="preserve"> and the Gulls </w:t>
      </w:r>
      <w:r w:rsidRPr="00073BC7">
        <w:t>(1962) and the founding of a jazz and</w:t>
      </w:r>
      <w:r>
        <w:t xml:space="preserve"> </w:t>
      </w:r>
      <w:r w:rsidRPr="00073BC7">
        <w:t xml:space="preserve">performance club called </w:t>
      </w:r>
      <w:r w:rsidR="00BD098C">
        <w:t>Th</w:t>
      </w:r>
      <w:r w:rsidRPr="00073BC7">
        <w:t xml:space="preserve">e </w:t>
      </w:r>
      <w:proofErr w:type="spellStart"/>
      <w:r w:rsidRPr="00073BC7">
        <w:t>Yardbird</w:t>
      </w:r>
      <w:proofErr w:type="spellEnd"/>
      <w:r w:rsidRPr="00073BC7">
        <w:t xml:space="preserve"> Suite have told us not only about the Watsons’ intellectual</w:t>
      </w:r>
      <w:r>
        <w:t xml:space="preserve"> </w:t>
      </w:r>
      <w:r w:rsidRPr="00073BC7">
        <w:t>circles but also about important local historical moments that shaped local and Canadian midcentury</w:t>
      </w:r>
      <w:r>
        <w:t xml:space="preserve"> </w:t>
      </w:r>
      <w:r w:rsidRPr="00073BC7">
        <w:t xml:space="preserve">art. </w:t>
      </w:r>
      <w:r w:rsidR="00BD098C">
        <w:t>Th</w:t>
      </w:r>
      <w:r w:rsidRPr="00073BC7">
        <w:t xml:space="preserve">e Watsons’ editorship of a literary magazine, </w:t>
      </w:r>
      <w:r w:rsidR="00C45875">
        <w:rPr>
          <w:i/>
          <w:iCs/>
        </w:rPr>
        <w:t>Th</w:t>
      </w:r>
      <w:r w:rsidRPr="00073BC7">
        <w:rPr>
          <w:i/>
          <w:iCs/>
        </w:rPr>
        <w:t xml:space="preserve">e White Pelican </w:t>
      </w:r>
      <w:r w:rsidRPr="00073BC7">
        <w:t>(1970), brought</w:t>
      </w:r>
      <w:r>
        <w:t xml:space="preserve"> </w:t>
      </w:r>
      <w:r w:rsidRPr="00073BC7">
        <w:t xml:space="preserve">together writers and academics from across the country. </w:t>
      </w:r>
      <w:r w:rsidR="00BD098C">
        <w:t>Th</w:t>
      </w:r>
      <w:r w:rsidRPr="00073BC7">
        <w:t xml:space="preserve">e </w:t>
      </w:r>
      <w:proofErr w:type="spellStart"/>
      <w:r w:rsidRPr="00073BC7">
        <w:t>prosopographical</w:t>
      </w:r>
      <w:proofErr w:type="spellEnd"/>
      <w:r w:rsidRPr="00073BC7">
        <w:t xml:space="preserve"> data alone from</w:t>
      </w:r>
      <w:r>
        <w:t xml:space="preserve"> </w:t>
      </w:r>
      <w:r w:rsidRPr="00073BC7">
        <w:t>these social interactions provide a signi</w:t>
      </w:r>
      <w:r w:rsidR="00BD098C">
        <w:t>fi</w:t>
      </w:r>
      <w:r w:rsidRPr="00073BC7">
        <w:t xml:space="preserve">cant </w:t>
      </w:r>
      <w:r w:rsidR="00441C47">
        <w:t>‘</w:t>
      </w:r>
      <w:r w:rsidRPr="00073BC7">
        <w:t>who’s who</w:t>
      </w:r>
      <w:r w:rsidR="00441C47">
        <w:t>’</w:t>
      </w:r>
      <w:r w:rsidRPr="00073BC7">
        <w:t xml:space="preserve"> of mid- to late-century Canadian</w:t>
      </w:r>
      <w:r>
        <w:t xml:space="preserve"> </w:t>
      </w:r>
      <w:r w:rsidRPr="00073BC7">
        <w:t>artistic and intellectual history.</w:t>
      </w:r>
      <w:r>
        <w:t xml:space="preserve"> </w:t>
      </w:r>
    </w:p>
    <w:p w:rsidR="00BD098C" w:rsidRDefault="00073BC7" w:rsidP="00BD098C">
      <w:r w:rsidRPr="00073BC7">
        <w:t>Social networks and their analysis, then, have provided us a rich resource to help understand</w:t>
      </w:r>
      <w:r>
        <w:t xml:space="preserve"> </w:t>
      </w:r>
      <w:r w:rsidRPr="00073BC7">
        <w:t xml:space="preserve">more about the literary and artistic careers represented by the archive in front of us. </w:t>
      </w:r>
      <w:r w:rsidR="00BD098C">
        <w:t>Th</w:t>
      </w:r>
      <w:r w:rsidRPr="00073BC7">
        <w:t>ey have</w:t>
      </w:r>
      <w:r>
        <w:t xml:space="preserve"> </w:t>
      </w:r>
      <w:r w:rsidRPr="00073BC7">
        <w:t>also told us something about the dynamics of mid-century art and culture at local, national</w:t>
      </w:r>
      <w:r w:rsidR="00C45875">
        <w:t>,</w:t>
      </w:r>
      <w:r w:rsidRPr="00073BC7">
        <w:t xml:space="preserve"> and</w:t>
      </w:r>
      <w:r>
        <w:t xml:space="preserve"> </w:t>
      </w:r>
      <w:r w:rsidRPr="00073BC7">
        <w:t xml:space="preserve">even international levels. </w:t>
      </w:r>
      <w:r w:rsidR="00BD098C">
        <w:t>Th</w:t>
      </w:r>
      <w:r w:rsidRPr="00073BC7">
        <w:t>e Watsons represent an important node in the development of</w:t>
      </w:r>
      <w:r>
        <w:t xml:space="preserve"> </w:t>
      </w:r>
      <w:r w:rsidRPr="00073BC7">
        <w:t xml:space="preserve">Canadian </w:t>
      </w:r>
      <w:r w:rsidR="00C45875">
        <w:t>m</w:t>
      </w:r>
      <w:r w:rsidRPr="00073BC7">
        <w:t xml:space="preserve">odernism and </w:t>
      </w:r>
      <w:r w:rsidR="00C45875">
        <w:t>p</w:t>
      </w:r>
      <w:r w:rsidRPr="00073BC7">
        <w:t>ostmodernism</w:t>
      </w:r>
      <w:r w:rsidR="00C45875">
        <w:t>,</w:t>
      </w:r>
      <w:r w:rsidRPr="00073BC7">
        <w:t xml:space="preserve"> and these social networks help us to understand not</w:t>
      </w:r>
      <w:r>
        <w:t xml:space="preserve"> </w:t>
      </w:r>
      <w:r w:rsidRPr="00073BC7">
        <w:t>only where many of these ideas came from but also where they ultimately went.</w:t>
      </w:r>
      <w:r>
        <w:t xml:space="preserve">  </w:t>
      </w:r>
    </w:p>
    <w:p w:rsidR="00BD098C" w:rsidRDefault="00BD098C" w:rsidP="00BD098C"/>
    <w:p w:rsidR="00BD098C" w:rsidRPr="00BE4804" w:rsidRDefault="00BD098C" w:rsidP="00BE4804">
      <w:pPr>
        <w:ind w:firstLine="0"/>
        <w:rPr>
          <w:b/>
        </w:rPr>
      </w:pPr>
      <w:r>
        <w:rPr>
          <w:b/>
        </w:rPr>
        <w:t>References</w:t>
      </w:r>
    </w:p>
    <w:p w:rsidR="00BD098C" w:rsidRDefault="00073BC7" w:rsidP="00BE4804">
      <w:pPr>
        <w:ind w:firstLine="0"/>
      </w:pPr>
      <w:r w:rsidRPr="00BE4804">
        <w:rPr>
          <w:b/>
        </w:rPr>
        <w:t>Cro</w:t>
      </w:r>
      <w:r w:rsidR="00BD098C" w:rsidRPr="00BE4804">
        <w:rPr>
          <w:b/>
        </w:rPr>
        <w:t>ft</w:t>
      </w:r>
      <w:r w:rsidRPr="00BE4804">
        <w:rPr>
          <w:b/>
        </w:rPr>
        <w:t>s, N</w:t>
      </w:r>
      <w:r w:rsidR="00C45875">
        <w:rPr>
          <w:b/>
        </w:rPr>
        <w:t>.</w:t>
      </w:r>
      <w:r w:rsidRPr="00BE4804">
        <w:rPr>
          <w:b/>
        </w:rPr>
        <w:t xml:space="preserve">, Doerr, </w:t>
      </w:r>
      <w:r w:rsidR="00C45875">
        <w:rPr>
          <w:b/>
        </w:rPr>
        <w:t xml:space="preserve">M., </w:t>
      </w:r>
      <w:r w:rsidRPr="00BE4804">
        <w:rPr>
          <w:b/>
        </w:rPr>
        <w:t xml:space="preserve">Gill, </w:t>
      </w:r>
      <w:r w:rsidR="00C45875">
        <w:rPr>
          <w:b/>
        </w:rPr>
        <w:t xml:space="preserve">T., </w:t>
      </w:r>
      <w:r w:rsidRPr="00BE4804">
        <w:rPr>
          <w:b/>
        </w:rPr>
        <w:t xml:space="preserve">Stead, </w:t>
      </w:r>
      <w:r w:rsidR="00C45875">
        <w:rPr>
          <w:b/>
        </w:rPr>
        <w:t xml:space="preserve">S. and </w:t>
      </w:r>
      <w:r w:rsidRPr="00BE4804">
        <w:rPr>
          <w:b/>
        </w:rPr>
        <w:t>Stiff</w:t>
      </w:r>
      <w:r w:rsidR="00C45875">
        <w:rPr>
          <w:b/>
        </w:rPr>
        <w:t>, M.</w:t>
      </w:r>
      <w:r w:rsidRPr="00073BC7">
        <w:t xml:space="preserve"> </w:t>
      </w:r>
      <w:r w:rsidR="00C45875">
        <w:t>(</w:t>
      </w:r>
      <w:proofErr w:type="spellStart"/>
      <w:r w:rsidRPr="00073BC7">
        <w:t>eds</w:t>
      </w:r>
      <w:proofErr w:type="spellEnd"/>
      <w:r w:rsidR="00C45875">
        <w:t>)</w:t>
      </w:r>
      <w:r w:rsidRPr="00073BC7">
        <w:t xml:space="preserve">. </w:t>
      </w:r>
      <w:r w:rsidR="00BD098C">
        <w:t xml:space="preserve">(2003). </w:t>
      </w:r>
      <w:r w:rsidRPr="00073BC7">
        <w:rPr>
          <w:i/>
          <w:iCs/>
        </w:rPr>
        <w:t>De</w:t>
      </w:r>
      <w:r w:rsidR="00BD098C">
        <w:rPr>
          <w:i/>
          <w:iCs/>
        </w:rPr>
        <w:t>fi</w:t>
      </w:r>
      <w:r w:rsidRPr="00073BC7">
        <w:rPr>
          <w:i/>
          <w:iCs/>
        </w:rPr>
        <w:t>nition of the CIDOC</w:t>
      </w:r>
      <w:r>
        <w:rPr>
          <w:i/>
          <w:iCs/>
        </w:rPr>
        <w:t xml:space="preserve"> </w:t>
      </w:r>
      <w:r w:rsidRPr="00073BC7">
        <w:rPr>
          <w:i/>
          <w:iCs/>
        </w:rPr>
        <w:t xml:space="preserve">Conceptual Reference Model. </w:t>
      </w:r>
      <w:r w:rsidRPr="00073BC7">
        <w:t>Version 3.4.9</w:t>
      </w:r>
      <w:r w:rsidR="00BD098C">
        <w:t xml:space="preserve">, </w:t>
      </w:r>
      <w:r w:rsidRPr="00073BC7">
        <w:t>http://www.cidoc-crm.org/docs/</w:t>
      </w:r>
      <w:r>
        <w:t xml:space="preserve"> </w:t>
      </w:r>
      <w:r w:rsidRPr="00073BC7">
        <w:t>cidoc_crm_version_3.4.9.pdf.</w:t>
      </w:r>
      <w:r>
        <w:t xml:space="preserve"> </w:t>
      </w:r>
    </w:p>
    <w:p w:rsidR="00BD098C" w:rsidRDefault="00073BC7" w:rsidP="00BE4804">
      <w:pPr>
        <w:ind w:firstLine="0"/>
      </w:pPr>
      <w:r w:rsidRPr="00BE4804">
        <w:rPr>
          <w:b/>
        </w:rPr>
        <w:t>Flahiff, F. T</w:t>
      </w:r>
      <w:r w:rsidRPr="00073BC7">
        <w:t xml:space="preserve">. </w:t>
      </w:r>
      <w:r w:rsidR="00C45875">
        <w:t xml:space="preserve">(2005). </w:t>
      </w:r>
      <w:r w:rsidRPr="00073BC7">
        <w:rPr>
          <w:i/>
          <w:iCs/>
        </w:rPr>
        <w:t xml:space="preserve">Always Someone to Kill the Doves: A Life of Sheila Watson. </w:t>
      </w:r>
      <w:proofErr w:type="spellStart"/>
      <w:r w:rsidR="00C45875">
        <w:rPr>
          <w:iCs/>
        </w:rPr>
        <w:t>NeWest</w:t>
      </w:r>
      <w:proofErr w:type="spellEnd"/>
      <w:r w:rsidR="00C45875">
        <w:rPr>
          <w:iCs/>
        </w:rPr>
        <w:t xml:space="preserve"> Press, </w:t>
      </w:r>
      <w:r w:rsidRPr="00073BC7">
        <w:t>Edmonton, Alberta.</w:t>
      </w:r>
      <w:r>
        <w:t xml:space="preserve"> </w:t>
      </w:r>
    </w:p>
    <w:p w:rsidR="00BD098C" w:rsidRDefault="00073BC7" w:rsidP="00BE4804">
      <w:pPr>
        <w:ind w:firstLine="0"/>
      </w:pPr>
      <w:r w:rsidRPr="00BE4804">
        <w:rPr>
          <w:b/>
        </w:rPr>
        <w:t>Hjartarson, P</w:t>
      </w:r>
      <w:r w:rsidR="00C45875">
        <w:rPr>
          <w:b/>
        </w:rPr>
        <w:t xml:space="preserve">. </w:t>
      </w:r>
      <w:r w:rsidRPr="00BE4804">
        <w:rPr>
          <w:b/>
        </w:rPr>
        <w:t xml:space="preserve">and </w:t>
      </w:r>
      <w:proofErr w:type="spellStart"/>
      <w:r w:rsidRPr="00BE4804">
        <w:rPr>
          <w:b/>
        </w:rPr>
        <w:t>Neuman</w:t>
      </w:r>
      <w:proofErr w:type="spellEnd"/>
      <w:r w:rsidR="00C45875">
        <w:rPr>
          <w:b/>
        </w:rPr>
        <w:t xml:space="preserve">, S. </w:t>
      </w:r>
      <w:r w:rsidR="00C45875" w:rsidRPr="00BE4804">
        <w:t>(2014)</w:t>
      </w:r>
      <w:r w:rsidRPr="00C45875">
        <w:t>.</w:t>
      </w:r>
      <w:r w:rsidRPr="00073BC7">
        <w:t xml:space="preserve"> </w:t>
      </w:r>
      <w:r w:rsidR="00BD098C">
        <w:rPr>
          <w:i/>
          <w:iCs/>
        </w:rPr>
        <w:t>The Thinking Heart: Th</w:t>
      </w:r>
      <w:r w:rsidRPr="00073BC7">
        <w:rPr>
          <w:i/>
          <w:iCs/>
        </w:rPr>
        <w:t>e Literary Archive of Wilfred</w:t>
      </w:r>
      <w:r>
        <w:rPr>
          <w:i/>
          <w:iCs/>
        </w:rPr>
        <w:t xml:space="preserve"> </w:t>
      </w:r>
      <w:r w:rsidRPr="00073BC7">
        <w:rPr>
          <w:i/>
          <w:iCs/>
        </w:rPr>
        <w:t>Watson</w:t>
      </w:r>
      <w:r w:rsidRPr="00073BC7">
        <w:t xml:space="preserve">. </w:t>
      </w:r>
      <w:r w:rsidR="00C45875" w:rsidRPr="00073BC7">
        <w:t xml:space="preserve">University of Alberta Libraries, </w:t>
      </w:r>
      <w:r w:rsidRPr="00073BC7">
        <w:t>Edmonton.</w:t>
      </w:r>
      <w:r>
        <w:t xml:space="preserve"> </w:t>
      </w:r>
    </w:p>
    <w:p w:rsidR="00BD098C" w:rsidRDefault="00BD098C" w:rsidP="00BE4804">
      <w:pPr>
        <w:ind w:firstLine="0"/>
      </w:pPr>
      <w:r w:rsidRPr="00BE4804">
        <w:rPr>
          <w:b/>
        </w:rPr>
        <w:t>Th</w:t>
      </w:r>
      <w:r w:rsidR="00073BC7" w:rsidRPr="00BE4804">
        <w:rPr>
          <w:b/>
        </w:rPr>
        <w:t xml:space="preserve">e </w:t>
      </w:r>
      <w:r w:rsidRPr="00BE4804">
        <w:rPr>
          <w:b/>
        </w:rPr>
        <w:t>Th</w:t>
      </w:r>
      <w:r w:rsidR="00073BC7" w:rsidRPr="00BE4804">
        <w:rPr>
          <w:b/>
        </w:rPr>
        <w:t>inking Heart:</w:t>
      </w:r>
      <w:r w:rsidR="00073BC7" w:rsidRPr="00073BC7">
        <w:t xml:space="preserve"> </w:t>
      </w:r>
      <w:r>
        <w:t>Th</w:t>
      </w:r>
      <w:r w:rsidR="00073BC7" w:rsidRPr="00073BC7">
        <w:t xml:space="preserve">e Literary Archive of Wilfred Watson. </w:t>
      </w:r>
      <w:r w:rsidR="00441C47">
        <w:t xml:space="preserve">(2015). </w:t>
      </w:r>
      <w:r w:rsidR="00073BC7" w:rsidRPr="00073BC7">
        <w:t>Bruce Peel Special Collections</w:t>
      </w:r>
      <w:r w:rsidR="00073BC7">
        <w:t xml:space="preserve"> </w:t>
      </w:r>
      <w:r w:rsidR="00073BC7" w:rsidRPr="00073BC7">
        <w:t>Exhibition. 16 October 2014</w:t>
      </w:r>
      <w:r w:rsidR="00C45875">
        <w:t>–</w:t>
      </w:r>
      <w:r w:rsidR="00073BC7" w:rsidRPr="00073BC7">
        <w:t>30 January 2015</w:t>
      </w:r>
      <w:r w:rsidR="00C45875">
        <w:t>,</w:t>
      </w:r>
      <w:r w:rsidR="00073BC7" w:rsidRPr="00073BC7">
        <w:t xml:space="preserve"> http://www.library.ualberta.ca/specialcollections/exhibits/current/.</w:t>
      </w:r>
      <w:r w:rsidR="00073BC7">
        <w:t xml:space="preserve"> </w:t>
      </w:r>
    </w:p>
    <w:p w:rsidR="004D17CF" w:rsidRPr="00073BC7" w:rsidRDefault="00BD098C" w:rsidP="00BE4804">
      <w:pPr>
        <w:ind w:firstLine="0"/>
      </w:pPr>
      <w:r w:rsidRPr="00BE4804">
        <w:rPr>
          <w:b/>
        </w:rPr>
        <w:t>Th</w:t>
      </w:r>
      <w:r w:rsidR="00073BC7" w:rsidRPr="00BE4804">
        <w:rPr>
          <w:b/>
        </w:rPr>
        <w:t>e Watson-McLuhan Correspondence.</w:t>
      </w:r>
      <w:r w:rsidR="00073BC7" w:rsidRPr="00073BC7">
        <w:t xml:space="preserve"> </w:t>
      </w:r>
      <w:r w:rsidR="00C45875">
        <w:t>(</w:t>
      </w:r>
      <w:proofErr w:type="spellStart"/>
      <w:r w:rsidR="00C45875">
        <w:t>n.d.</w:t>
      </w:r>
      <w:proofErr w:type="spellEnd"/>
      <w:r w:rsidR="00C45875">
        <w:t xml:space="preserve">). </w:t>
      </w:r>
      <w:r w:rsidR="00073BC7" w:rsidRPr="00073BC7">
        <w:t>Editing Modernism at the University of Alberta</w:t>
      </w:r>
      <w:r w:rsidR="004B0144">
        <w:t>.</w:t>
      </w:r>
      <w:r w:rsidR="00441C47">
        <w:t xml:space="preserve"> </w:t>
      </w:r>
      <w:r w:rsidR="00073BC7" w:rsidRPr="00073BC7">
        <w:t>http://hucodev.artsrn.ualberta.ca/hquamen/emic/bigdata/.</w:t>
      </w:r>
      <w:r w:rsidR="00073BC7">
        <w:t xml:space="preserve"> </w:t>
      </w:r>
    </w:p>
    <w:sectPr w:rsidR="004D17CF" w:rsidRPr="00073B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C7"/>
    <w:rsid w:val="000006F4"/>
    <w:rsid w:val="00001C5F"/>
    <w:rsid w:val="00002ABF"/>
    <w:rsid w:val="000148F2"/>
    <w:rsid w:val="00056175"/>
    <w:rsid w:val="00060D19"/>
    <w:rsid w:val="00060EF8"/>
    <w:rsid w:val="00064BD0"/>
    <w:rsid w:val="00071F15"/>
    <w:rsid w:val="000721AB"/>
    <w:rsid w:val="0007383B"/>
    <w:rsid w:val="00073BC7"/>
    <w:rsid w:val="000B4B0D"/>
    <w:rsid w:val="000C277A"/>
    <w:rsid w:val="000F33D3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345A8"/>
    <w:rsid w:val="00441C47"/>
    <w:rsid w:val="00467EE7"/>
    <w:rsid w:val="004B0144"/>
    <w:rsid w:val="004B73A3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94D0A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814D35"/>
    <w:rsid w:val="00831A18"/>
    <w:rsid w:val="00842FE1"/>
    <w:rsid w:val="00852392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F51BC"/>
    <w:rsid w:val="00A37590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098C"/>
    <w:rsid w:val="00BD3709"/>
    <w:rsid w:val="00BE4804"/>
    <w:rsid w:val="00BE6470"/>
    <w:rsid w:val="00BF41DE"/>
    <w:rsid w:val="00C00571"/>
    <w:rsid w:val="00C01330"/>
    <w:rsid w:val="00C11D92"/>
    <w:rsid w:val="00C2728D"/>
    <w:rsid w:val="00C34135"/>
    <w:rsid w:val="00C4587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44958"/>
    <w:rsid w:val="00E51857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97AC1-2D88-4916-978F-30982921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D09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D0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cp:lastPrinted>2015-03-27T00:08:00Z</cp:lastPrinted>
  <dcterms:created xsi:type="dcterms:W3CDTF">2015-04-20T07:52:00Z</dcterms:created>
  <dcterms:modified xsi:type="dcterms:W3CDTF">2015-05-03T20:50:00Z</dcterms:modified>
</cp:coreProperties>
</file>