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0A2" w:rsidRPr="005634ED" w:rsidRDefault="00E020A2" w:rsidP="005634ED">
      <w:pPr>
        <w:rPr>
          <w:rFonts w:ascii="Times New Roman" w:hAnsi="Times New Roman"/>
          <w:b/>
          <w:sz w:val="28"/>
          <w:szCs w:val="28"/>
        </w:rPr>
      </w:pPr>
      <w:r>
        <w:rPr>
          <w:rFonts w:ascii="Times New Roman" w:hAnsi="Times New Roman"/>
          <w:b/>
          <w:sz w:val="28"/>
          <w:szCs w:val="28"/>
        </w:rPr>
        <w:t>TANG — Longitudinal study</w:t>
      </w:r>
    </w:p>
    <w:p w:rsidR="00E020A2" w:rsidRDefault="00E020A2" w:rsidP="005634ED">
      <w:pPr>
        <w:rPr>
          <w:rFonts w:ascii="Times New Roman" w:hAnsi="Times New Roman"/>
          <w:szCs w:val="24"/>
        </w:rPr>
      </w:pPr>
      <w:r>
        <w:rPr>
          <w:rFonts w:ascii="Times New Roman" w:hAnsi="Times New Roman"/>
          <w:szCs w:val="24"/>
        </w:rPr>
        <w:t xml:space="preserve">&lt;7 figures; 2 tables&gt; </w:t>
      </w:r>
    </w:p>
    <w:p w:rsidR="00E020A2" w:rsidRDefault="00E020A2" w:rsidP="005634ED">
      <w:pPr>
        <w:rPr>
          <w:rFonts w:ascii="Times New Roman" w:hAnsi="Times New Roman"/>
          <w:szCs w:val="24"/>
        </w:rPr>
      </w:pPr>
    </w:p>
    <w:p w:rsidR="00E020A2" w:rsidRPr="005634ED" w:rsidRDefault="00E020A2" w:rsidP="005634ED">
      <w:pPr>
        <w:rPr>
          <w:rFonts w:ascii="Times New Roman" w:hAnsi="Times New Roman"/>
          <w:b/>
          <w:szCs w:val="24"/>
        </w:rPr>
      </w:pPr>
      <w:r w:rsidRPr="005634ED">
        <w:rPr>
          <w:rFonts w:ascii="Times New Roman" w:hAnsi="Times New Roman"/>
          <w:b/>
          <w:szCs w:val="24"/>
        </w:rPr>
        <w:t>A Longitudinal Study of Knowledge Integration in Digital Humanities Using Co-Citation Analysis</w:t>
      </w:r>
    </w:p>
    <w:p w:rsidR="00E020A2" w:rsidRDefault="00E020A2" w:rsidP="005634ED">
      <w:pPr>
        <w:rPr>
          <w:rFonts w:ascii="Times New Roman" w:hAnsi="Times New Roman"/>
          <w:szCs w:val="24"/>
        </w:rPr>
      </w:pPr>
      <w:r w:rsidRPr="005634ED">
        <w:rPr>
          <w:rFonts w:ascii="Times New Roman" w:hAnsi="Times New Roman"/>
          <w:szCs w:val="24"/>
        </w:rPr>
        <w:t>Tang, M</w:t>
      </w:r>
      <w:r>
        <w:rPr>
          <w:rFonts w:ascii="Times New Roman" w:hAnsi="Times New Roman"/>
          <w:szCs w:val="24"/>
        </w:rPr>
        <w:t>.-C.,</w:t>
      </w:r>
      <w:r w:rsidRPr="005634ED">
        <w:rPr>
          <w:rFonts w:ascii="Times New Roman" w:hAnsi="Times New Roman"/>
          <w:szCs w:val="24"/>
        </w:rPr>
        <w:t xml:space="preserve"> Cheng, Y</w:t>
      </w:r>
      <w:r>
        <w:rPr>
          <w:rFonts w:ascii="Times New Roman" w:hAnsi="Times New Roman"/>
          <w:szCs w:val="24"/>
        </w:rPr>
        <w:t>.</w:t>
      </w:r>
      <w:r w:rsidRPr="005634ED">
        <w:rPr>
          <w:rFonts w:ascii="Times New Roman" w:hAnsi="Times New Roman"/>
          <w:szCs w:val="24"/>
        </w:rPr>
        <w:t>-J; Chen, K</w:t>
      </w:r>
      <w:r>
        <w:rPr>
          <w:rFonts w:ascii="Times New Roman" w:hAnsi="Times New Roman"/>
          <w:szCs w:val="24"/>
        </w:rPr>
        <w:t xml:space="preserve">. and </w:t>
      </w:r>
      <w:r w:rsidRPr="005634ED">
        <w:rPr>
          <w:rFonts w:ascii="Times New Roman" w:hAnsi="Times New Roman"/>
          <w:szCs w:val="24"/>
        </w:rPr>
        <w:t>Hsiang, J</w:t>
      </w:r>
    </w:p>
    <w:p w:rsidR="00E020A2" w:rsidRPr="005634ED" w:rsidRDefault="00E020A2" w:rsidP="005634ED">
      <w:pPr>
        <w:rPr>
          <w:rFonts w:ascii="Times New Roman" w:hAnsi="Times New Roman"/>
          <w:szCs w:val="24"/>
        </w:rPr>
      </w:pPr>
    </w:p>
    <w:p w:rsidR="00E020A2" w:rsidRPr="005634ED" w:rsidRDefault="00E020A2" w:rsidP="005634ED">
      <w:pPr>
        <w:rPr>
          <w:rFonts w:ascii="Times New Roman" w:hAnsi="Times New Roman"/>
          <w:szCs w:val="24"/>
        </w:rPr>
      </w:pPr>
      <w:r w:rsidRPr="005634ED">
        <w:rPr>
          <w:rFonts w:ascii="Times New Roman" w:hAnsi="Times New Roman"/>
          <w:szCs w:val="24"/>
        </w:rPr>
        <w:t>Although digital humanities continues to expand and become more inclusive, little is known about the extent to which its published knowledge is integrated. A longitudinal co-citation analysis of publications in digital humanities was conducted to examine the degree of cohesion of its published knowledge over time (1989</w:t>
      </w:r>
      <w:r>
        <w:rPr>
          <w:rFonts w:ascii="Times New Roman" w:hAnsi="Times New Roman"/>
          <w:szCs w:val="24"/>
        </w:rPr>
        <w:t>–</w:t>
      </w:r>
      <w:r w:rsidRPr="005634ED">
        <w:rPr>
          <w:rFonts w:ascii="Times New Roman" w:hAnsi="Times New Roman"/>
          <w:szCs w:val="24"/>
        </w:rPr>
        <w:t>2014). The measurement of cohesion was performed at source and individual article levels. The results show that, while the publications in digital humanities continue to grow, its diversity and coherence, two hallmarks of interdisciplinarity, remain robust. Betweenness centrality was used to identify the nodes that contribute most significantly to the cohesion of the source and individual networks</w:t>
      </w:r>
      <w:r>
        <w:rPr>
          <w:rFonts w:ascii="Times New Roman" w:hAnsi="Times New Roman"/>
          <w:szCs w:val="24"/>
        </w:rPr>
        <w:t>.</w:t>
      </w:r>
    </w:p>
    <w:p w:rsidR="00E020A2" w:rsidRDefault="00E020A2">
      <w:pPr>
        <w:rPr>
          <w:rFonts w:ascii="Times New Roman" w:hAnsi="Times New Roman"/>
          <w:szCs w:val="24"/>
        </w:rPr>
      </w:pPr>
    </w:p>
    <w:p w:rsidR="00E020A2" w:rsidRPr="005634ED" w:rsidRDefault="00E020A2">
      <w:pPr>
        <w:rPr>
          <w:rFonts w:ascii="Times New Roman" w:hAnsi="Times New Roman"/>
          <w:szCs w:val="24"/>
        </w:rPr>
      </w:pPr>
      <w:r>
        <w:rPr>
          <w:rFonts w:ascii="Times New Roman" w:hAnsi="Times New Roman"/>
          <w:szCs w:val="24"/>
        </w:rPr>
        <w:t>* * *</w:t>
      </w:r>
    </w:p>
    <w:p w:rsidR="00E020A2" w:rsidRDefault="00E020A2" w:rsidP="001D557A">
      <w:pPr>
        <w:rPr>
          <w:rFonts w:ascii="Times New Roman" w:hAnsi="Times New Roman"/>
          <w:szCs w:val="24"/>
        </w:rPr>
      </w:pPr>
    </w:p>
    <w:p w:rsidR="00E020A2" w:rsidRPr="005634ED" w:rsidRDefault="00E020A2" w:rsidP="001D557A">
      <w:pPr>
        <w:rPr>
          <w:rFonts w:ascii="Times New Roman" w:hAnsi="Times New Roman"/>
          <w:szCs w:val="24"/>
        </w:rPr>
      </w:pPr>
      <w:r w:rsidRPr="005634ED">
        <w:rPr>
          <w:rFonts w:ascii="Times New Roman" w:hAnsi="Times New Roman"/>
          <w:szCs w:val="24"/>
        </w:rPr>
        <w:t xml:space="preserve">One crucial aspect of Interdisciplinarity is the integration of different bodies of knowledge into a coherent enterprise (Rafols </w:t>
      </w:r>
      <w:r>
        <w:rPr>
          <w:rFonts w:ascii="Times New Roman" w:hAnsi="Times New Roman"/>
          <w:szCs w:val="24"/>
        </w:rPr>
        <w:t xml:space="preserve">and </w:t>
      </w:r>
      <w:r w:rsidRPr="005634ED">
        <w:rPr>
          <w:rFonts w:ascii="Times New Roman" w:hAnsi="Times New Roman"/>
          <w:szCs w:val="24"/>
        </w:rPr>
        <w:t>Meyer, 2010; Porter et al.</w:t>
      </w:r>
      <w:r>
        <w:rPr>
          <w:rFonts w:ascii="Times New Roman" w:hAnsi="Times New Roman"/>
          <w:szCs w:val="24"/>
        </w:rPr>
        <w:t>,</w:t>
      </w:r>
      <w:r w:rsidRPr="005634ED">
        <w:rPr>
          <w:rFonts w:ascii="Times New Roman" w:hAnsi="Times New Roman"/>
          <w:szCs w:val="24"/>
        </w:rPr>
        <w:t xml:space="preserve"> 2007). As an emerging field that draws research interests from multiple fields, DH provides a fertile ground for the study of whether and how different bodies of knowledge are integrated. The cognitive integration of concepts, theories, methods</w:t>
      </w:r>
      <w:r>
        <w:rPr>
          <w:rFonts w:ascii="Times New Roman" w:hAnsi="Times New Roman"/>
          <w:szCs w:val="24"/>
        </w:rPr>
        <w:t>,</w:t>
      </w:r>
      <w:r w:rsidRPr="005634ED">
        <w:rPr>
          <w:rFonts w:ascii="Times New Roman" w:hAnsi="Times New Roman"/>
          <w:szCs w:val="24"/>
        </w:rPr>
        <w:t xml:space="preserve"> and/or results from diverse fields is considered as the hallmark of interdisciplinary research. Such knowledge integration is much easier to observe at the micro level, where the diversity of authorship and cited references present within an individual article are often taken as evidences of interdisciplinarity. The level of integration at the macro level, which can be measured by the degree of interconnectedness among published works within a fi</w:t>
      </w:r>
      <w:r>
        <w:rPr>
          <w:rFonts w:ascii="Times New Roman" w:hAnsi="Times New Roman"/>
          <w:szCs w:val="24"/>
        </w:rPr>
        <w:t>el</w:t>
      </w:r>
      <w:r w:rsidRPr="005634ED">
        <w:rPr>
          <w:rFonts w:ascii="Times New Roman" w:hAnsi="Times New Roman"/>
          <w:szCs w:val="24"/>
        </w:rPr>
        <w:t xml:space="preserve">d, is not as readily accessible. While research initiatives in DH often share the common methodological outlook, there is little empirical study regarding whether DH as a research </w:t>
      </w:r>
      <w:r>
        <w:rPr>
          <w:rFonts w:ascii="Times New Roman" w:hAnsi="Times New Roman"/>
          <w:szCs w:val="24"/>
        </w:rPr>
        <w:t xml:space="preserve">field </w:t>
      </w:r>
      <w:r w:rsidRPr="005634ED">
        <w:rPr>
          <w:rFonts w:ascii="Times New Roman" w:hAnsi="Times New Roman"/>
          <w:szCs w:val="24"/>
        </w:rPr>
        <w:t xml:space="preserve">has consolidated or remained fragmented. Taking a bibliometrics approach, this study aims to fill the gap. We used a co-citation network to examine the degree of interdisciplinarity in the published knowledge in DH. Three types of bibliographic elements resulting from the co-citation network were examined: keywords, publication sources, and individual articles. Social network analytical methods were applied to measure the diversity and interconnectedness of these elements, as well as the most prominent actors in these </w:t>
      </w:r>
      <w:r w:rsidRPr="005634ED">
        <w:rPr>
          <w:rFonts w:ascii="Times New Roman" w:hAnsi="Times New Roman"/>
          <w:szCs w:val="24"/>
        </w:rPr>
        <w:lastRenderedPageBreak/>
        <w:t xml:space="preserve">networks. </w:t>
      </w:r>
    </w:p>
    <w:p w:rsidR="00E020A2" w:rsidRPr="005634ED" w:rsidRDefault="00E020A2" w:rsidP="00A35374">
      <w:pPr>
        <w:ind w:firstLine="480"/>
        <w:rPr>
          <w:rFonts w:ascii="Times New Roman" w:hAnsi="Times New Roman"/>
          <w:szCs w:val="24"/>
        </w:rPr>
      </w:pPr>
      <w:r w:rsidRPr="005634ED">
        <w:rPr>
          <w:rFonts w:ascii="Times New Roman" w:hAnsi="Times New Roman"/>
          <w:szCs w:val="24"/>
        </w:rPr>
        <w:t xml:space="preserve">        </w:t>
      </w:r>
    </w:p>
    <w:p w:rsidR="00E020A2" w:rsidRPr="00933B92" w:rsidRDefault="00E020A2">
      <w:pPr>
        <w:rPr>
          <w:rFonts w:ascii="Times New Roman" w:hAnsi="Times New Roman"/>
          <w:b/>
          <w:szCs w:val="24"/>
        </w:rPr>
      </w:pPr>
      <w:r w:rsidRPr="00933B92">
        <w:rPr>
          <w:rFonts w:ascii="Times New Roman" w:hAnsi="Times New Roman"/>
          <w:b/>
          <w:szCs w:val="24"/>
        </w:rPr>
        <w:t xml:space="preserve">Data </w:t>
      </w:r>
      <w:r>
        <w:rPr>
          <w:rFonts w:ascii="Times New Roman" w:hAnsi="Times New Roman"/>
          <w:b/>
          <w:szCs w:val="24"/>
        </w:rPr>
        <w:t>C</w:t>
      </w:r>
      <w:r w:rsidRPr="00933B92">
        <w:rPr>
          <w:rFonts w:ascii="Times New Roman" w:hAnsi="Times New Roman"/>
          <w:b/>
          <w:szCs w:val="24"/>
        </w:rPr>
        <w:t xml:space="preserve">ollection </w:t>
      </w:r>
      <w:r>
        <w:rPr>
          <w:rFonts w:ascii="Times New Roman" w:hAnsi="Times New Roman"/>
          <w:b/>
          <w:szCs w:val="24"/>
        </w:rPr>
        <w:t>P</w:t>
      </w:r>
      <w:r w:rsidRPr="00933B92">
        <w:rPr>
          <w:rFonts w:ascii="Times New Roman" w:hAnsi="Times New Roman"/>
          <w:b/>
          <w:szCs w:val="24"/>
        </w:rPr>
        <w:t xml:space="preserve">rocedures </w:t>
      </w:r>
    </w:p>
    <w:p w:rsidR="00E020A2" w:rsidRPr="005634ED" w:rsidRDefault="00E020A2" w:rsidP="00933B92">
      <w:pPr>
        <w:rPr>
          <w:rFonts w:ascii="Times New Roman" w:hAnsi="Times New Roman"/>
          <w:szCs w:val="24"/>
        </w:rPr>
      </w:pPr>
      <w:r w:rsidRPr="005634ED">
        <w:rPr>
          <w:rFonts w:ascii="Times New Roman" w:hAnsi="Times New Roman"/>
          <w:szCs w:val="24"/>
        </w:rPr>
        <w:t>The publications of DH were identified by both keywords search and journals with an explicit digital humanities orientation. Keyword search with Scopus resulted in a set of 1</w:t>
      </w:r>
      <w:r>
        <w:rPr>
          <w:rFonts w:ascii="Times New Roman" w:hAnsi="Times New Roman"/>
          <w:szCs w:val="24"/>
        </w:rPr>
        <w:t>,</w:t>
      </w:r>
      <w:r w:rsidRPr="005634ED">
        <w:rPr>
          <w:rFonts w:ascii="Times New Roman" w:hAnsi="Times New Roman"/>
          <w:szCs w:val="24"/>
        </w:rPr>
        <w:t xml:space="preserve">967 articles and book chapters. As publications in DH do not necessarily have those keywords, a complementary set of articles was created by retrieving all the articles published in the </w:t>
      </w:r>
      <w:r>
        <w:rPr>
          <w:rFonts w:ascii="Times New Roman" w:hAnsi="Times New Roman"/>
          <w:szCs w:val="24"/>
        </w:rPr>
        <w:t>six</w:t>
      </w:r>
      <w:r w:rsidRPr="005634ED">
        <w:rPr>
          <w:rFonts w:ascii="Times New Roman" w:hAnsi="Times New Roman"/>
          <w:szCs w:val="24"/>
        </w:rPr>
        <w:t xml:space="preserve"> journals published by the members of </w:t>
      </w:r>
      <w:r w:rsidRPr="005634ED">
        <w:rPr>
          <w:rFonts w:ascii="Times New Roman" w:hAnsi="Times New Roman"/>
          <w:color w:val="2E2E2E"/>
          <w:szCs w:val="24"/>
          <w:shd w:val="clear" w:color="auto" w:fill="FFFFFF"/>
        </w:rPr>
        <w:t xml:space="preserve">the Alliance of Digital Humanities Organizations (ADHO). </w:t>
      </w:r>
      <w:r w:rsidRPr="005634ED">
        <w:rPr>
          <w:rFonts w:ascii="Times New Roman" w:hAnsi="Times New Roman"/>
          <w:szCs w:val="24"/>
        </w:rPr>
        <w:t xml:space="preserve">The union of the two sets constitutes the target set (N = 2509) from which article co-citation networks </w:t>
      </w:r>
      <w:r w:rsidRPr="005634ED">
        <w:rPr>
          <w:rFonts w:ascii="Times New Roman" w:eastAsia="SimSun" w:hAnsi="Times New Roman"/>
          <w:szCs w:val="24"/>
          <w:lang w:eastAsia="zh-CN"/>
        </w:rPr>
        <w:t xml:space="preserve">were </w:t>
      </w:r>
      <w:r w:rsidRPr="005634ED">
        <w:rPr>
          <w:rFonts w:ascii="Times New Roman" w:hAnsi="Times New Roman"/>
          <w:szCs w:val="24"/>
        </w:rPr>
        <w:t xml:space="preserve">formed and analyzed. </w:t>
      </w:r>
    </w:p>
    <w:p w:rsidR="00E020A2" w:rsidRPr="005634ED" w:rsidRDefault="00E020A2" w:rsidP="00C634DE">
      <w:pPr>
        <w:ind w:firstLine="480"/>
        <w:rPr>
          <w:rFonts w:ascii="Times New Roman" w:hAnsi="Times New Roman"/>
          <w:szCs w:val="24"/>
        </w:rPr>
      </w:pPr>
      <w:r w:rsidRPr="005634ED">
        <w:rPr>
          <w:rFonts w:ascii="Times New Roman" w:hAnsi="Times New Roman"/>
          <w:szCs w:val="24"/>
        </w:rPr>
        <w:t>To generate the co-citation networks, pair-wise matching of all the articles’ received citations has to be conducted. This is done by using Google Scholar’s citation tracing function. The citations received by every article in our target set were identified and downloaded</w:t>
      </w:r>
      <w:r>
        <w:rPr>
          <w:rFonts w:ascii="Times New Roman" w:hAnsi="Times New Roman"/>
          <w:szCs w:val="24"/>
        </w:rPr>
        <w:t>;</w:t>
      </w:r>
      <w:r w:rsidRPr="005634ED">
        <w:rPr>
          <w:rFonts w:ascii="Times New Roman" w:hAnsi="Times New Roman"/>
          <w:szCs w:val="24"/>
        </w:rPr>
        <w:t xml:space="preserve"> then pair-wise matching was performed to identify shared citation. To study the co-citation network over time, a five-year overlapping time slice was used to divide our target set into 22 co-citation networks. </w:t>
      </w:r>
    </w:p>
    <w:p w:rsidR="00E020A2" w:rsidRPr="005634ED" w:rsidRDefault="00E020A2" w:rsidP="00613EFE">
      <w:pPr>
        <w:rPr>
          <w:rFonts w:ascii="Times New Roman" w:hAnsi="Times New Roman"/>
          <w:szCs w:val="24"/>
        </w:rPr>
      </w:pPr>
    </w:p>
    <w:p w:rsidR="00E020A2" w:rsidRPr="00933B92" w:rsidRDefault="00E020A2" w:rsidP="00613EFE">
      <w:pPr>
        <w:rPr>
          <w:rFonts w:ascii="Times New Roman" w:hAnsi="Times New Roman"/>
          <w:b/>
          <w:szCs w:val="24"/>
        </w:rPr>
      </w:pPr>
      <w:r w:rsidRPr="00933B92">
        <w:rPr>
          <w:rFonts w:ascii="Times New Roman" w:hAnsi="Times New Roman"/>
          <w:b/>
          <w:szCs w:val="24"/>
        </w:rPr>
        <w:t>Results</w:t>
      </w:r>
    </w:p>
    <w:p w:rsidR="00E020A2" w:rsidRPr="005634ED" w:rsidRDefault="00E020A2" w:rsidP="00933B92">
      <w:pPr>
        <w:rPr>
          <w:rFonts w:ascii="Times New Roman" w:hAnsi="Times New Roman"/>
          <w:szCs w:val="24"/>
        </w:rPr>
      </w:pPr>
      <w:r w:rsidRPr="005634ED">
        <w:rPr>
          <w:rFonts w:ascii="Times New Roman" w:hAnsi="Times New Roman"/>
          <w:szCs w:val="24"/>
        </w:rPr>
        <w:t>Figure 1 shows the growth of articles and number of nodes in the co-citation networks over time. The graph indicate</w:t>
      </w:r>
      <w:r>
        <w:rPr>
          <w:rFonts w:ascii="Times New Roman" w:hAnsi="Times New Roman"/>
          <w:szCs w:val="24"/>
        </w:rPr>
        <w:t>s</w:t>
      </w:r>
      <w:r w:rsidRPr="005634ED">
        <w:rPr>
          <w:rFonts w:ascii="Times New Roman" w:hAnsi="Times New Roman"/>
          <w:szCs w:val="24"/>
        </w:rPr>
        <w:t xml:space="preserve"> that the interests in DH took off in early 2000 and has continued to grow to this date. Notice also that there is a significant gap between the number of total articles and nodes in the co-citation network in our target set, indicating a large proportion of isolates in the whole network. </w:t>
      </w:r>
      <w:r w:rsidRPr="005634ED">
        <w:rPr>
          <w:rFonts w:ascii="Times New Roman" w:hAnsi="Times New Roman"/>
          <w:szCs w:val="24"/>
        </w:rPr>
        <w:br/>
      </w:r>
    </w:p>
    <w:p w:rsidR="00E020A2" w:rsidRPr="005634ED" w:rsidRDefault="00933B92" w:rsidP="00985307">
      <w:pPr>
        <w:rPr>
          <w:rFonts w:ascii="Times New Roman" w:hAnsi="Times New Roman"/>
          <w:szCs w:val="24"/>
        </w:rPr>
      </w:pPr>
      <w:r>
        <w:rPr>
          <w:rFonts w:ascii="Times New Roman" w:hAnsi="Times New Roman"/>
          <w:noProof/>
          <w:szCs w:val="24"/>
          <w:lang w:eastAsia="en-US"/>
        </w:rPr>
        <w:drawing>
          <wp:inline distT="0" distB="0" distL="0" distR="0">
            <wp:extent cx="5276850" cy="2609215"/>
            <wp:effectExtent l="0" t="0" r="0" b="635"/>
            <wp:docPr id="1" name="圖表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020A2" w:rsidRDefault="004430F1" w:rsidP="006A1564">
      <w:pPr>
        <w:rPr>
          <w:rFonts w:ascii="Times New Roman" w:hAnsi="Times New Roman"/>
          <w:szCs w:val="24"/>
        </w:rPr>
      </w:pPr>
      <w:r>
        <w:rPr>
          <w:rFonts w:ascii="Times New Roman" w:hAnsi="Times New Roman"/>
          <w:szCs w:val="24"/>
        </w:rPr>
        <w:pict>
          <v:rect id="_x0000_i1025" style="width:0;height:1.5pt" o:hralign="center" o:hrstd="t" o:hr="t" fillcolor="#a0a0a0" stroked="f"/>
        </w:pict>
      </w:r>
    </w:p>
    <w:p w:rsidR="00E020A2" w:rsidRPr="005634ED" w:rsidRDefault="00E020A2" w:rsidP="006A1564">
      <w:pPr>
        <w:rPr>
          <w:rFonts w:ascii="Times New Roman" w:hAnsi="Times New Roman"/>
          <w:szCs w:val="24"/>
        </w:rPr>
      </w:pPr>
      <w:r w:rsidRPr="005634ED">
        <w:rPr>
          <w:rFonts w:ascii="Times New Roman" w:hAnsi="Times New Roman"/>
          <w:szCs w:val="24"/>
        </w:rPr>
        <w:lastRenderedPageBreak/>
        <w:t>Figure 1. The growth of publications and size of the co-citation network over time</w:t>
      </w:r>
      <w:r>
        <w:rPr>
          <w:rFonts w:ascii="Times New Roman" w:hAnsi="Times New Roman"/>
          <w:szCs w:val="24"/>
        </w:rPr>
        <w:t>.</w:t>
      </w:r>
    </w:p>
    <w:p w:rsidR="00E020A2" w:rsidRPr="005634ED" w:rsidRDefault="00E020A2" w:rsidP="006A1564">
      <w:pPr>
        <w:rPr>
          <w:rFonts w:ascii="Times New Roman" w:hAnsi="Times New Roman"/>
          <w:szCs w:val="24"/>
        </w:rPr>
      </w:pPr>
    </w:p>
    <w:p w:rsidR="00E020A2" w:rsidRPr="005634ED" w:rsidRDefault="00E020A2" w:rsidP="003869A7">
      <w:pPr>
        <w:ind w:firstLine="480"/>
        <w:rPr>
          <w:rFonts w:ascii="Times New Roman" w:hAnsi="Times New Roman"/>
          <w:szCs w:val="24"/>
        </w:rPr>
      </w:pPr>
      <w:r w:rsidRPr="005634ED">
        <w:rPr>
          <w:rFonts w:ascii="Times New Roman" w:hAnsi="Times New Roman"/>
          <w:szCs w:val="24"/>
        </w:rPr>
        <w:t>We used author</w:t>
      </w:r>
      <w:r>
        <w:rPr>
          <w:rFonts w:ascii="Times New Roman" w:hAnsi="Times New Roman"/>
          <w:szCs w:val="24"/>
        </w:rPr>
        <w:t xml:space="preserve"> </w:t>
      </w:r>
      <w:r w:rsidRPr="005634ED">
        <w:rPr>
          <w:rFonts w:ascii="Times New Roman" w:hAnsi="Times New Roman"/>
          <w:szCs w:val="24"/>
        </w:rPr>
        <w:t>assigned keywords as the representation of subjects treated in the articles. The keywords thus extracted were then normalized manually. Gini index was then applied to measure the balance of the subjects covered in our target set over time. High Gini index of the keyword distribution signal</w:t>
      </w:r>
      <w:r>
        <w:rPr>
          <w:rFonts w:ascii="Times New Roman" w:hAnsi="Times New Roman"/>
          <w:szCs w:val="24"/>
        </w:rPr>
        <w:t>s</w:t>
      </w:r>
      <w:r w:rsidRPr="005634ED">
        <w:rPr>
          <w:rFonts w:ascii="Times New Roman" w:hAnsi="Times New Roman"/>
          <w:szCs w:val="24"/>
        </w:rPr>
        <w:t xml:space="preserve"> the existence of few dominant keywords. Figure 2 shows a gradual rising of Gini indexing over time, which might be interpreted as a gradual consolidation of research efforts. Yet notice that even with the gent</w:t>
      </w:r>
      <w:r>
        <w:rPr>
          <w:rFonts w:ascii="Times New Roman" w:hAnsi="Times New Roman"/>
          <w:szCs w:val="24"/>
        </w:rPr>
        <w:t>ly</w:t>
      </w:r>
      <w:r w:rsidRPr="005634ED">
        <w:rPr>
          <w:rFonts w:ascii="Times New Roman" w:hAnsi="Times New Roman"/>
          <w:szCs w:val="24"/>
        </w:rPr>
        <w:t xml:space="preserve"> rising slope, the degree of concentration remains low at below .35, which suggests rather disperse re</w:t>
      </w:r>
      <w:r w:rsidRPr="005634ED">
        <w:rPr>
          <w:rFonts w:ascii="Times New Roman" w:eastAsia="SimSun" w:hAnsi="Times New Roman"/>
          <w:szCs w:val="24"/>
          <w:lang w:eastAsia="zh-CN"/>
        </w:rPr>
        <w:t>se</w:t>
      </w:r>
      <w:r w:rsidRPr="005634ED">
        <w:rPr>
          <w:rFonts w:ascii="Times New Roman" w:hAnsi="Times New Roman"/>
          <w:szCs w:val="24"/>
        </w:rPr>
        <w:t>a</w:t>
      </w:r>
      <w:r w:rsidRPr="005634ED">
        <w:rPr>
          <w:rFonts w:ascii="Times New Roman" w:eastAsia="SimSun" w:hAnsi="Times New Roman"/>
          <w:szCs w:val="24"/>
          <w:lang w:eastAsia="zh-CN"/>
        </w:rPr>
        <w:t>r</w:t>
      </w:r>
      <w:r w:rsidRPr="005634ED">
        <w:rPr>
          <w:rFonts w:ascii="Times New Roman" w:hAnsi="Times New Roman"/>
          <w:szCs w:val="24"/>
        </w:rPr>
        <w:t xml:space="preserve">ch interests in DH. </w:t>
      </w:r>
    </w:p>
    <w:p w:rsidR="00E020A2" w:rsidRPr="005634ED" w:rsidRDefault="00E020A2" w:rsidP="00985307">
      <w:pPr>
        <w:rPr>
          <w:rFonts w:ascii="Times New Roman" w:hAnsi="Times New Roman"/>
          <w:szCs w:val="24"/>
        </w:rPr>
      </w:pPr>
      <w:r w:rsidRPr="005634ED">
        <w:rPr>
          <w:rFonts w:ascii="Times New Roman" w:hAnsi="Times New Roman"/>
          <w:szCs w:val="24"/>
        </w:rPr>
        <w:t xml:space="preserve"> </w:t>
      </w:r>
    </w:p>
    <w:p w:rsidR="00E020A2" w:rsidRPr="005634ED" w:rsidRDefault="00933B92" w:rsidP="000A573E">
      <w:pPr>
        <w:rPr>
          <w:rFonts w:ascii="Times New Roman" w:hAnsi="Times New Roman"/>
          <w:szCs w:val="24"/>
        </w:rPr>
      </w:pPr>
      <w:r>
        <w:rPr>
          <w:rFonts w:ascii="Times New Roman" w:hAnsi="Times New Roman"/>
          <w:noProof/>
          <w:szCs w:val="24"/>
          <w:lang w:eastAsia="en-US"/>
        </w:rPr>
        <w:drawing>
          <wp:inline distT="0" distB="0" distL="0" distR="0">
            <wp:extent cx="4610100" cy="1824990"/>
            <wp:effectExtent l="0" t="0" r="0" b="3810"/>
            <wp:docPr id="3" name="圖表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020A2" w:rsidRDefault="004430F1" w:rsidP="000A573E">
      <w:pPr>
        <w:rPr>
          <w:rFonts w:ascii="Times New Roman" w:hAnsi="Times New Roman"/>
          <w:szCs w:val="24"/>
        </w:rPr>
      </w:pPr>
      <w:r>
        <w:rPr>
          <w:rFonts w:ascii="Times New Roman" w:hAnsi="Times New Roman"/>
          <w:szCs w:val="24"/>
        </w:rPr>
        <w:pict>
          <v:rect id="_x0000_i1026" style="width:0;height:1.5pt" o:hralign="center" o:hrstd="t" o:hr="t" fillcolor="#a0a0a0" stroked="f"/>
        </w:pict>
      </w:r>
    </w:p>
    <w:p w:rsidR="00E020A2" w:rsidRPr="005634ED" w:rsidRDefault="00E020A2" w:rsidP="000A573E">
      <w:pPr>
        <w:rPr>
          <w:rFonts w:ascii="Times New Roman" w:hAnsi="Times New Roman"/>
          <w:szCs w:val="24"/>
        </w:rPr>
      </w:pPr>
      <w:r w:rsidRPr="005634ED">
        <w:rPr>
          <w:rFonts w:ascii="Times New Roman" w:hAnsi="Times New Roman"/>
          <w:szCs w:val="24"/>
        </w:rPr>
        <w:t xml:space="preserve">Figure 2. Gini index of keyword distribution over time. </w:t>
      </w:r>
    </w:p>
    <w:p w:rsidR="00E020A2" w:rsidRPr="005634ED" w:rsidRDefault="00E020A2" w:rsidP="000A573E">
      <w:pPr>
        <w:rPr>
          <w:rFonts w:ascii="Times New Roman" w:hAnsi="Times New Roman"/>
          <w:szCs w:val="24"/>
        </w:rPr>
      </w:pPr>
    </w:p>
    <w:p w:rsidR="00E020A2" w:rsidRPr="005634ED" w:rsidRDefault="00E020A2" w:rsidP="009E09F8">
      <w:pPr>
        <w:ind w:firstLine="480"/>
        <w:rPr>
          <w:rFonts w:ascii="Times New Roman" w:hAnsi="Times New Roman"/>
          <w:szCs w:val="24"/>
        </w:rPr>
      </w:pPr>
      <w:r w:rsidRPr="005634ED">
        <w:rPr>
          <w:rFonts w:ascii="Times New Roman" w:hAnsi="Times New Roman"/>
          <w:szCs w:val="24"/>
        </w:rPr>
        <w:t>Figure 3 show</w:t>
      </w:r>
      <w:r>
        <w:rPr>
          <w:rFonts w:ascii="Times New Roman" w:hAnsi="Times New Roman"/>
          <w:szCs w:val="24"/>
        </w:rPr>
        <w:t>s</w:t>
      </w:r>
      <w:r w:rsidRPr="005634ED">
        <w:rPr>
          <w:rFonts w:ascii="Times New Roman" w:hAnsi="Times New Roman"/>
          <w:szCs w:val="24"/>
        </w:rPr>
        <w:t xml:space="preserve"> the long</w:t>
      </w:r>
      <w:r>
        <w:rPr>
          <w:rFonts w:ascii="Times New Roman" w:hAnsi="Times New Roman"/>
          <w:szCs w:val="24"/>
        </w:rPr>
        <w:t>-</w:t>
      </w:r>
      <w:r w:rsidRPr="005634ED">
        <w:rPr>
          <w:rFonts w:ascii="Times New Roman" w:hAnsi="Times New Roman"/>
          <w:szCs w:val="24"/>
        </w:rPr>
        <w:t>term trend of cited articles remained in the giant component. A jump of the percentage of nodes in the giant component can be observed in the early 2000</w:t>
      </w:r>
      <w:r>
        <w:rPr>
          <w:rFonts w:ascii="Times New Roman" w:hAnsi="Times New Roman"/>
          <w:szCs w:val="24"/>
        </w:rPr>
        <w:t>s</w:t>
      </w:r>
      <w:r w:rsidRPr="005634ED">
        <w:rPr>
          <w:rFonts w:ascii="Times New Roman" w:hAnsi="Times New Roman"/>
          <w:szCs w:val="24"/>
        </w:rPr>
        <w:t xml:space="preserve">; it then gradually levelled off. The dip in recent years might be more likely due to the citation window for recent publications than a sign of disintegration. Another two measures, average geodesic distance and clustering coefficient that often associate with the </w:t>
      </w:r>
      <w:r>
        <w:rPr>
          <w:rFonts w:ascii="Times New Roman" w:hAnsi="Times New Roman"/>
          <w:szCs w:val="24"/>
        </w:rPr>
        <w:t>‘</w:t>
      </w:r>
      <w:r w:rsidRPr="005634ED">
        <w:rPr>
          <w:rFonts w:ascii="Times New Roman" w:hAnsi="Times New Roman"/>
          <w:szCs w:val="24"/>
        </w:rPr>
        <w:t>small world</w:t>
      </w:r>
      <w:r>
        <w:rPr>
          <w:rFonts w:ascii="Times New Roman" w:hAnsi="Times New Roman"/>
          <w:szCs w:val="24"/>
        </w:rPr>
        <w:t>’</w:t>
      </w:r>
      <w:r w:rsidRPr="005634ED">
        <w:rPr>
          <w:rFonts w:ascii="Times New Roman" w:hAnsi="Times New Roman"/>
          <w:szCs w:val="24"/>
        </w:rPr>
        <w:t xml:space="preserve"> phenomenon, also showed similar patterns. Figure 4 shows a rather short average distance between nodes in the giant component, hovering around 4. The cluster coefficient stayed steadily high at 60 percent, indicating dense local clustering, which, coupled with the short average distance, fit a typical small-world model.    </w:t>
      </w:r>
    </w:p>
    <w:p w:rsidR="00E020A2" w:rsidRPr="005634ED" w:rsidRDefault="00E020A2" w:rsidP="000A573E">
      <w:pPr>
        <w:rPr>
          <w:rFonts w:ascii="Times New Roman" w:hAnsi="Times New Roman"/>
          <w:szCs w:val="24"/>
        </w:rPr>
      </w:pPr>
    </w:p>
    <w:p w:rsidR="00E020A2" w:rsidRPr="005634ED" w:rsidRDefault="00933B92" w:rsidP="000A573E">
      <w:pPr>
        <w:rPr>
          <w:rFonts w:ascii="Times New Roman" w:hAnsi="Times New Roman"/>
          <w:noProof/>
          <w:szCs w:val="24"/>
        </w:rPr>
      </w:pPr>
      <w:r>
        <w:rPr>
          <w:rFonts w:ascii="Times New Roman" w:hAnsi="Times New Roman"/>
          <w:noProof/>
          <w:szCs w:val="24"/>
          <w:lang w:eastAsia="en-US"/>
        </w:rPr>
        <w:lastRenderedPageBreak/>
        <w:drawing>
          <wp:inline distT="0" distB="0" distL="0" distR="0">
            <wp:extent cx="5774055" cy="2032635"/>
            <wp:effectExtent l="0" t="0" r="17145" b="5715"/>
            <wp:docPr id="5" name="圖表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020A2" w:rsidRDefault="00E020A2" w:rsidP="00DE585F">
      <w:pPr>
        <w:tabs>
          <w:tab w:val="left" w:pos="7320"/>
        </w:tabs>
        <w:rPr>
          <w:rFonts w:ascii="Times New Roman" w:hAnsi="Times New Roman"/>
          <w:noProof/>
          <w:szCs w:val="24"/>
        </w:rPr>
      </w:pPr>
    </w:p>
    <w:p w:rsidR="00E020A2" w:rsidRDefault="004430F1" w:rsidP="00DE585F">
      <w:pPr>
        <w:tabs>
          <w:tab w:val="left" w:pos="7320"/>
        </w:tabs>
        <w:rPr>
          <w:rFonts w:ascii="Times New Roman" w:hAnsi="Times New Roman"/>
          <w:noProof/>
          <w:szCs w:val="24"/>
        </w:rPr>
      </w:pPr>
      <w:r>
        <w:rPr>
          <w:rFonts w:ascii="Times New Roman" w:hAnsi="Times New Roman"/>
          <w:szCs w:val="24"/>
        </w:rPr>
        <w:pict>
          <v:rect id="_x0000_i1027" style="width:0;height:1.5pt" o:hralign="center" o:hrstd="t" o:hr="t" fillcolor="#a0a0a0" stroked="f"/>
        </w:pict>
      </w:r>
    </w:p>
    <w:p w:rsidR="00E020A2" w:rsidRPr="005634ED" w:rsidRDefault="00E020A2" w:rsidP="00DE585F">
      <w:pPr>
        <w:tabs>
          <w:tab w:val="left" w:pos="7320"/>
        </w:tabs>
        <w:rPr>
          <w:rFonts w:ascii="Times New Roman" w:hAnsi="Times New Roman"/>
          <w:noProof/>
          <w:szCs w:val="24"/>
        </w:rPr>
      </w:pPr>
      <w:r w:rsidRPr="005634ED">
        <w:rPr>
          <w:rFonts w:ascii="Times New Roman" w:hAnsi="Times New Roman"/>
          <w:noProof/>
          <w:szCs w:val="24"/>
        </w:rPr>
        <w:t>Figure 3. Percent of nodes within the giant components</w:t>
      </w:r>
      <w:r>
        <w:rPr>
          <w:rFonts w:ascii="Times New Roman" w:hAnsi="Times New Roman"/>
          <w:noProof/>
          <w:szCs w:val="24"/>
        </w:rPr>
        <w:t>.</w:t>
      </w:r>
    </w:p>
    <w:p w:rsidR="00E020A2" w:rsidRPr="005634ED" w:rsidRDefault="00E020A2" w:rsidP="00DE585F">
      <w:pPr>
        <w:tabs>
          <w:tab w:val="left" w:pos="7320"/>
        </w:tabs>
        <w:rPr>
          <w:rFonts w:ascii="Times New Roman" w:hAnsi="Times New Roman"/>
          <w:noProof/>
          <w:szCs w:val="24"/>
        </w:rPr>
      </w:pPr>
    </w:p>
    <w:p w:rsidR="00E020A2" w:rsidRPr="005634ED" w:rsidRDefault="00933B92" w:rsidP="000A573E">
      <w:pPr>
        <w:rPr>
          <w:rFonts w:ascii="Times New Roman" w:hAnsi="Times New Roman"/>
          <w:noProof/>
          <w:szCs w:val="24"/>
        </w:rPr>
      </w:pPr>
      <w:r>
        <w:rPr>
          <w:rFonts w:ascii="Times New Roman" w:hAnsi="Times New Roman"/>
          <w:noProof/>
          <w:szCs w:val="24"/>
          <w:lang w:eastAsia="en-US"/>
        </w:rPr>
        <w:drawing>
          <wp:inline distT="0" distB="0" distL="0" distR="0">
            <wp:extent cx="5276850" cy="2021205"/>
            <wp:effectExtent l="0" t="0" r="0" b="17145"/>
            <wp:docPr id="7" name="圖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020A2" w:rsidRDefault="00E020A2" w:rsidP="000A573E">
      <w:pPr>
        <w:rPr>
          <w:rFonts w:ascii="Times New Roman" w:hAnsi="Times New Roman"/>
          <w:szCs w:val="24"/>
        </w:rPr>
      </w:pPr>
    </w:p>
    <w:p w:rsidR="00E020A2" w:rsidRDefault="004430F1" w:rsidP="000A573E">
      <w:pPr>
        <w:rPr>
          <w:rFonts w:ascii="Times New Roman" w:hAnsi="Times New Roman"/>
          <w:szCs w:val="24"/>
        </w:rPr>
      </w:pPr>
      <w:r>
        <w:rPr>
          <w:rFonts w:ascii="Times New Roman" w:hAnsi="Times New Roman"/>
          <w:szCs w:val="24"/>
        </w:rPr>
        <w:pict>
          <v:rect id="_x0000_i1028" style="width:0;height:1.5pt" o:hralign="center" o:hrstd="t" o:hr="t" fillcolor="#a0a0a0" stroked="f"/>
        </w:pict>
      </w:r>
    </w:p>
    <w:p w:rsidR="00E020A2" w:rsidRPr="005634ED" w:rsidRDefault="00E020A2" w:rsidP="000A573E">
      <w:pPr>
        <w:rPr>
          <w:rFonts w:ascii="Times New Roman" w:hAnsi="Times New Roman"/>
          <w:szCs w:val="24"/>
        </w:rPr>
      </w:pPr>
      <w:r w:rsidRPr="005634ED">
        <w:rPr>
          <w:rFonts w:ascii="Times New Roman" w:hAnsi="Times New Roman"/>
          <w:szCs w:val="24"/>
        </w:rPr>
        <w:t>Figure 4. Clustering coefficient</w:t>
      </w:r>
      <w:r>
        <w:rPr>
          <w:rFonts w:ascii="Times New Roman" w:hAnsi="Times New Roman"/>
          <w:szCs w:val="24"/>
        </w:rPr>
        <w:t>.</w:t>
      </w:r>
    </w:p>
    <w:p w:rsidR="00E020A2" w:rsidRPr="005634ED" w:rsidRDefault="00E020A2" w:rsidP="000A573E">
      <w:pPr>
        <w:rPr>
          <w:rFonts w:ascii="Times New Roman" w:hAnsi="Times New Roman"/>
          <w:szCs w:val="24"/>
        </w:rPr>
      </w:pPr>
    </w:p>
    <w:p w:rsidR="00E020A2" w:rsidRPr="005634ED" w:rsidRDefault="00933B92" w:rsidP="000A573E">
      <w:pPr>
        <w:rPr>
          <w:rFonts w:ascii="Times New Roman" w:hAnsi="Times New Roman"/>
          <w:szCs w:val="24"/>
        </w:rPr>
      </w:pPr>
      <w:r>
        <w:rPr>
          <w:rFonts w:ascii="Times New Roman" w:hAnsi="Times New Roman"/>
          <w:noProof/>
          <w:szCs w:val="24"/>
          <w:lang w:eastAsia="en-US"/>
        </w:rPr>
        <w:drawing>
          <wp:inline distT="0" distB="0" distL="0" distR="0">
            <wp:extent cx="4990465" cy="2014220"/>
            <wp:effectExtent l="0" t="0" r="635" b="5080"/>
            <wp:docPr id="9" name="圖表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020A2" w:rsidRDefault="00E020A2" w:rsidP="00364F9B">
      <w:pPr>
        <w:rPr>
          <w:rFonts w:ascii="Times New Roman" w:hAnsi="Times New Roman"/>
          <w:szCs w:val="24"/>
        </w:rPr>
      </w:pPr>
    </w:p>
    <w:p w:rsidR="00E020A2" w:rsidRDefault="004430F1" w:rsidP="00364F9B">
      <w:pPr>
        <w:rPr>
          <w:rFonts w:ascii="Times New Roman" w:hAnsi="Times New Roman"/>
          <w:szCs w:val="24"/>
        </w:rPr>
      </w:pPr>
      <w:r>
        <w:rPr>
          <w:rFonts w:ascii="Times New Roman" w:hAnsi="Times New Roman"/>
          <w:szCs w:val="24"/>
        </w:rPr>
        <w:pict>
          <v:rect id="_x0000_i1029" style="width:0;height:1.5pt" o:hralign="center" o:hrstd="t" o:hr="t" fillcolor="#a0a0a0" stroked="f"/>
        </w:pict>
      </w:r>
    </w:p>
    <w:p w:rsidR="00E020A2" w:rsidRPr="005634ED" w:rsidRDefault="00E020A2" w:rsidP="00364F9B">
      <w:pPr>
        <w:rPr>
          <w:rFonts w:ascii="Times New Roman" w:hAnsi="Times New Roman"/>
          <w:szCs w:val="24"/>
        </w:rPr>
      </w:pPr>
      <w:r w:rsidRPr="005634ED">
        <w:rPr>
          <w:rFonts w:ascii="Times New Roman" w:hAnsi="Times New Roman"/>
          <w:szCs w:val="24"/>
        </w:rPr>
        <w:t xml:space="preserve">Figure 5. Average </w:t>
      </w:r>
      <w:r>
        <w:rPr>
          <w:rFonts w:ascii="Times New Roman" w:hAnsi="Times New Roman"/>
          <w:szCs w:val="24"/>
        </w:rPr>
        <w:t>g</w:t>
      </w:r>
      <w:r w:rsidRPr="005634ED">
        <w:rPr>
          <w:rFonts w:ascii="Times New Roman" w:hAnsi="Times New Roman"/>
          <w:szCs w:val="24"/>
        </w:rPr>
        <w:t>eodesic distance</w:t>
      </w:r>
      <w:r>
        <w:rPr>
          <w:rFonts w:ascii="Times New Roman" w:hAnsi="Times New Roman"/>
          <w:szCs w:val="24"/>
        </w:rPr>
        <w:t>.</w:t>
      </w:r>
    </w:p>
    <w:p w:rsidR="00E020A2" w:rsidRPr="005634ED" w:rsidRDefault="00E020A2" w:rsidP="000A573E">
      <w:pPr>
        <w:rPr>
          <w:rFonts w:ascii="Times New Roman" w:hAnsi="Times New Roman"/>
          <w:szCs w:val="24"/>
        </w:rPr>
      </w:pPr>
    </w:p>
    <w:p w:rsidR="00E020A2" w:rsidRPr="005634ED" w:rsidRDefault="00E020A2" w:rsidP="009E09F8">
      <w:pPr>
        <w:ind w:firstLine="480"/>
        <w:rPr>
          <w:rFonts w:ascii="Times New Roman" w:hAnsi="Times New Roman"/>
          <w:szCs w:val="24"/>
        </w:rPr>
      </w:pPr>
      <w:r w:rsidRPr="005634ED">
        <w:rPr>
          <w:rFonts w:ascii="Times New Roman" w:hAnsi="Times New Roman"/>
          <w:szCs w:val="24"/>
        </w:rPr>
        <w:t>Another way to assess the cohesion or integration of a network is through degree centralization</w:t>
      </w:r>
      <w:r>
        <w:rPr>
          <w:rFonts w:ascii="Times New Roman" w:hAnsi="Times New Roman"/>
          <w:szCs w:val="24"/>
        </w:rPr>
        <w:t>,</w:t>
      </w:r>
      <w:r w:rsidRPr="005634ED">
        <w:rPr>
          <w:rFonts w:ascii="Times New Roman" w:hAnsi="Times New Roman"/>
          <w:szCs w:val="24"/>
        </w:rPr>
        <w:t xml:space="preserve"> as it measures the degree to which network cohesion is hinged on particular focal importance (Borgatti</w:t>
      </w:r>
      <w:r>
        <w:rPr>
          <w:rFonts w:ascii="Times New Roman" w:hAnsi="Times New Roman"/>
          <w:szCs w:val="24"/>
        </w:rPr>
        <w:t xml:space="preserve"> et al.</w:t>
      </w:r>
      <w:r w:rsidRPr="005634ED">
        <w:rPr>
          <w:rFonts w:ascii="Times New Roman" w:hAnsi="Times New Roman"/>
          <w:szCs w:val="24"/>
        </w:rPr>
        <w:t>, 2013). High degree centralization signals inequality of node importance. Figure 6 traces the trends of degree and betweenness centralization of nodes in the co-citation main component over time. Both degree and betweenness centralization leveled off gradually from their peaks in the mid-</w:t>
      </w:r>
      <w:r>
        <w:rPr>
          <w:rFonts w:ascii="Times New Roman" w:hAnsi="Times New Roman"/>
          <w:szCs w:val="24"/>
        </w:rPr>
        <w:t>19</w:t>
      </w:r>
      <w:r w:rsidRPr="005634ED">
        <w:rPr>
          <w:rFonts w:ascii="Times New Roman" w:hAnsi="Times New Roman"/>
          <w:szCs w:val="24"/>
        </w:rPr>
        <w:t>90s, when the idea of DH was first introduced by a few seminal works. The degree concentration, however, has since declined gradually, which echoes our previous findings</w:t>
      </w:r>
      <w:r>
        <w:rPr>
          <w:rFonts w:ascii="Times New Roman" w:hAnsi="Times New Roman"/>
          <w:szCs w:val="24"/>
        </w:rPr>
        <w:t>,</w:t>
      </w:r>
      <w:r w:rsidRPr="005634ED">
        <w:rPr>
          <w:rFonts w:ascii="Times New Roman" w:hAnsi="Times New Roman"/>
          <w:szCs w:val="24"/>
        </w:rPr>
        <w:t xml:space="preserve"> suggesting the presence of many local clusters that represents a wide variety of specialized interests. </w:t>
      </w:r>
    </w:p>
    <w:p w:rsidR="00E020A2" w:rsidRPr="005634ED" w:rsidRDefault="00E020A2" w:rsidP="000A573E">
      <w:pPr>
        <w:rPr>
          <w:rFonts w:ascii="Times New Roman" w:hAnsi="Times New Roman"/>
          <w:szCs w:val="24"/>
        </w:rPr>
      </w:pPr>
    </w:p>
    <w:p w:rsidR="00E020A2" w:rsidRPr="005634ED" w:rsidRDefault="00933B92" w:rsidP="00A55C3C">
      <w:pPr>
        <w:ind w:firstLine="480"/>
        <w:rPr>
          <w:rFonts w:ascii="Times New Roman" w:hAnsi="Times New Roman"/>
          <w:b/>
          <w:szCs w:val="24"/>
        </w:rPr>
      </w:pPr>
      <w:r>
        <w:rPr>
          <w:rFonts w:ascii="Times New Roman" w:hAnsi="Times New Roman"/>
          <w:noProof/>
          <w:szCs w:val="24"/>
          <w:lang w:eastAsia="en-US"/>
        </w:rPr>
        <w:drawing>
          <wp:inline distT="0" distB="0" distL="0" distR="0">
            <wp:extent cx="5276850" cy="2586990"/>
            <wp:effectExtent l="0" t="0" r="0" b="3810"/>
            <wp:docPr id="11" name="圖表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020A2" w:rsidRDefault="00E020A2" w:rsidP="00412110">
      <w:pPr>
        <w:rPr>
          <w:rFonts w:ascii="Times New Roman" w:hAnsi="Times New Roman"/>
          <w:szCs w:val="24"/>
        </w:rPr>
      </w:pPr>
    </w:p>
    <w:p w:rsidR="00E020A2" w:rsidRDefault="004430F1" w:rsidP="00412110">
      <w:pPr>
        <w:rPr>
          <w:rFonts w:ascii="Times New Roman" w:hAnsi="Times New Roman"/>
          <w:szCs w:val="24"/>
        </w:rPr>
      </w:pPr>
      <w:r>
        <w:rPr>
          <w:rFonts w:ascii="Times New Roman" w:hAnsi="Times New Roman"/>
          <w:szCs w:val="24"/>
        </w:rPr>
        <w:pict>
          <v:rect id="_x0000_i1030" style="width:0;height:1.5pt" o:hralign="center" o:hrstd="t" o:hr="t" fillcolor="#a0a0a0" stroked="f"/>
        </w:pict>
      </w:r>
    </w:p>
    <w:p w:rsidR="00E020A2" w:rsidRPr="005634ED" w:rsidRDefault="00E020A2" w:rsidP="00412110">
      <w:pPr>
        <w:rPr>
          <w:rFonts w:ascii="Times New Roman" w:hAnsi="Times New Roman"/>
          <w:szCs w:val="24"/>
        </w:rPr>
      </w:pPr>
      <w:r w:rsidRPr="005634ED">
        <w:rPr>
          <w:rFonts w:ascii="Times New Roman" w:hAnsi="Times New Roman"/>
          <w:szCs w:val="24"/>
        </w:rPr>
        <w:t>Figure 6. Degree and betweenness centrality of the giant components over time</w:t>
      </w:r>
      <w:r>
        <w:rPr>
          <w:rFonts w:ascii="Times New Roman" w:hAnsi="Times New Roman"/>
          <w:szCs w:val="24"/>
        </w:rPr>
        <w:t>.</w:t>
      </w:r>
      <w:r w:rsidRPr="005634ED">
        <w:rPr>
          <w:rFonts w:ascii="Times New Roman" w:hAnsi="Times New Roman"/>
          <w:szCs w:val="24"/>
        </w:rPr>
        <w:t xml:space="preserve"> </w:t>
      </w:r>
    </w:p>
    <w:p w:rsidR="00E020A2" w:rsidRPr="005634ED" w:rsidRDefault="00E020A2" w:rsidP="00924F50">
      <w:pPr>
        <w:rPr>
          <w:rFonts w:ascii="Times New Roman" w:hAnsi="Times New Roman"/>
          <w:szCs w:val="24"/>
        </w:rPr>
      </w:pPr>
    </w:p>
    <w:p w:rsidR="00E020A2" w:rsidRPr="005634ED" w:rsidRDefault="00E020A2" w:rsidP="009E09F8">
      <w:pPr>
        <w:ind w:firstLine="480"/>
        <w:rPr>
          <w:rFonts w:ascii="Times New Roman" w:hAnsi="Times New Roman"/>
          <w:szCs w:val="24"/>
        </w:rPr>
      </w:pPr>
      <w:r w:rsidRPr="005634ED">
        <w:rPr>
          <w:rFonts w:ascii="Times New Roman" w:hAnsi="Times New Roman"/>
          <w:szCs w:val="24"/>
        </w:rPr>
        <w:t xml:space="preserve">Among all the centrality measure, betweenness centrality is arguably the most closely related to network cohesion. Table 5 ranked the top 40 sources in our target set by their betweenness centrality, accompanied by their degree centrality. Of particular interest are the sources able to achieve high betweenness centrality despite relatively low degree centrality as they play a significant </w:t>
      </w:r>
      <w:r>
        <w:rPr>
          <w:rFonts w:ascii="Times New Roman" w:hAnsi="Times New Roman"/>
          <w:szCs w:val="24"/>
        </w:rPr>
        <w:t>‘</w:t>
      </w:r>
      <w:r w:rsidRPr="005634ED">
        <w:rPr>
          <w:rFonts w:ascii="Times New Roman" w:hAnsi="Times New Roman"/>
          <w:szCs w:val="24"/>
        </w:rPr>
        <w:t>bridging</w:t>
      </w:r>
      <w:r>
        <w:rPr>
          <w:rFonts w:ascii="Times New Roman" w:hAnsi="Times New Roman"/>
          <w:szCs w:val="24"/>
        </w:rPr>
        <w:t>’</w:t>
      </w:r>
      <w:r w:rsidRPr="005634ED">
        <w:rPr>
          <w:rFonts w:ascii="Times New Roman" w:hAnsi="Times New Roman"/>
          <w:szCs w:val="24"/>
        </w:rPr>
        <w:t xml:space="preserve"> role in the network that contributes the most to the network cohesion.   </w:t>
      </w:r>
    </w:p>
    <w:p w:rsidR="00E020A2" w:rsidRPr="005634ED" w:rsidRDefault="00E020A2" w:rsidP="009E09F8">
      <w:pPr>
        <w:ind w:firstLine="480"/>
        <w:rPr>
          <w:rFonts w:ascii="Times New Roman" w:hAnsi="Times New Roman"/>
          <w:szCs w:val="24"/>
        </w:rPr>
      </w:pPr>
      <w:r w:rsidRPr="005634ED">
        <w:rPr>
          <w:rFonts w:ascii="Times New Roman" w:hAnsi="Times New Roman"/>
          <w:szCs w:val="24"/>
        </w:rPr>
        <w:t xml:space="preserve">   </w:t>
      </w:r>
    </w:p>
    <w:p w:rsidR="00E020A2" w:rsidRPr="005634ED" w:rsidRDefault="00933B92" w:rsidP="001B00DB">
      <w:pPr>
        <w:rPr>
          <w:rFonts w:ascii="Times New Roman" w:hAnsi="Times New Roman"/>
          <w:szCs w:val="24"/>
        </w:rPr>
      </w:pPr>
      <w:r>
        <w:rPr>
          <w:rFonts w:ascii="Times New Roman" w:hAnsi="Times New Roman"/>
          <w:noProof/>
          <w:szCs w:val="24"/>
          <w:lang w:eastAsia="en-US"/>
        </w:rPr>
        <w:lastRenderedPageBreak/>
        <w:drawing>
          <wp:inline distT="0" distB="0" distL="0" distR="0">
            <wp:extent cx="4330700" cy="6952615"/>
            <wp:effectExtent l="0" t="0" r="0" b="635"/>
            <wp:docPr id="13" name="圖片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0700" cy="6952615"/>
                    </a:xfrm>
                    <a:prstGeom prst="rect">
                      <a:avLst/>
                    </a:prstGeom>
                    <a:noFill/>
                    <a:ln>
                      <a:noFill/>
                    </a:ln>
                  </pic:spPr>
                </pic:pic>
              </a:graphicData>
            </a:graphic>
          </wp:inline>
        </w:drawing>
      </w:r>
    </w:p>
    <w:p w:rsidR="00E020A2" w:rsidRDefault="004430F1" w:rsidP="005634ED">
      <w:pPr>
        <w:tabs>
          <w:tab w:val="left" w:pos="3637"/>
        </w:tabs>
        <w:rPr>
          <w:rFonts w:ascii="Times New Roman" w:hAnsi="Times New Roman"/>
          <w:szCs w:val="24"/>
        </w:rPr>
      </w:pPr>
      <w:r>
        <w:rPr>
          <w:rFonts w:ascii="Times New Roman" w:hAnsi="Times New Roman"/>
          <w:szCs w:val="24"/>
        </w:rPr>
        <w:pict>
          <v:rect id="_x0000_i1031" style="width:0;height:1.5pt" o:hralign="center" o:hrstd="t" o:hr="t" fillcolor="#a0a0a0" stroked="f"/>
        </w:pict>
      </w:r>
    </w:p>
    <w:p w:rsidR="00E020A2" w:rsidRPr="005634ED" w:rsidRDefault="00E020A2" w:rsidP="005634ED">
      <w:pPr>
        <w:tabs>
          <w:tab w:val="left" w:pos="3637"/>
        </w:tabs>
        <w:rPr>
          <w:rFonts w:ascii="Times New Roman" w:hAnsi="Times New Roman"/>
          <w:szCs w:val="24"/>
        </w:rPr>
      </w:pPr>
      <w:r w:rsidRPr="005634ED">
        <w:rPr>
          <w:rFonts w:ascii="Times New Roman" w:hAnsi="Times New Roman"/>
          <w:szCs w:val="24"/>
        </w:rPr>
        <w:t>Table 1</w:t>
      </w:r>
      <w:r>
        <w:rPr>
          <w:rFonts w:ascii="Times New Roman" w:hAnsi="Times New Roman"/>
          <w:szCs w:val="24"/>
        </w:rPr>
        <w:t>.</w:t>
      </w:r>
      <w:r w:rsidRPr="005634ED">
        <w:rPr>
          <w:rFonts w:ascii="Times New Roman" w:hAnsi="Times New Roman"/>
          <w:szCs w:val="24"/>
        </w:rPr>
        <w:t xml:space="preserve"> Top 40 sources with highest between centrality</w:t>
      </w:r>
      <w:r>
        <w:rPr>
          <w:rFonts w:ascii="Times New Roman" w:hAnsi="Times New Roman"/>
          <w:szCs w:val="24"/>
        </w:rPr>
        <w:t>.</w:t>
      </w:r>
      <w:r w:rsidRPr="005634ED">
        <w:rPr>
          <w:rFonts w:ascii="Times New Roman" w:hAnsi="Times New Roman"/>
          <w:szCs w:val="24"/>
        </w:rPr>
        <w:t xml:space="preserve"> </w:t>
      </w:r>
    </w:p>
    <w:p w:rsidR="00E020A2" w:rsidRPr="005634ED" w:rsidRDefault="00E020A2" w:rsidP="00B518E8">
      <w:pPr>
        <w:ind w:firstLine="480"/>
        <w:rPr>
          <w:rFonts w:ascii="Times New Roman" w:hAnsi="Times New Roman"/>
          <w:szCs w:val="24"/>
        </w:rPr>
      </w:pPr>
    </w:p>
    <w:p w:rsidR="00E020A2" w:rsidRPr="005634ED" w:rsidRDefault="00E020A2" w:rsidP="00B518E8">
      <w:pPr>
        <w:ind w:firstLine="480"/>
        <w:rPr>
          <w:rFonts w:ascii="Times New Roman" w:hAnsi="Times New Roman"/>
          <w:szCs w:val="24"/>
        </w:rPr>
      </w:pPr>
      <w:r w:rsidRPr="005634ED">
        <w:rPr>
          <w:rFonts w:ascii="Times New Roman" w:hAnsi="Times New Roman"/>
          <w:szCs w:val="24"/>
        </w:rPr>
        <w:t>We visualized the source co-citation network using MDS where the distance between nodes signif</w:t>
      </w:r>
      <w:r>
        <w:rPr>
          <w:rFonts w:ascii="Times New Roman" w:hAnsi="Times New Roman"/>
          <w:szCs w:val="24"/>
        </w:rPr>
        <w:t>ies</w:t>
      </w:r>
      <w:r w:rsidRPr="005634ED">
        <w:rPr>
          <w:rFonts w:ascii="Times New Roman" w:hAnsi="Times New Roman"/>
          <w:szCs w:val="24"/>
        </w:rPr>
        <w:t xml:space="preserve"> the similarity of their co-citation profiles (Figure 7). The size of the nodes represents betweenness centrality, while different colors group frequently co-cited sources using fraction algorithm. </w:t>
      </w:r>
    </w:p>
    <w:p w:rsidR="00E020A2" w:rsidRPr="005634ED" w:rsidRDefault="00933B92" w:rsidP="001B00DB">
      <w:pPr>
        <w:rPr>
          <w:rFonts w:ascii="Times New Roman" w:hAnsi="Times New Roman"/>
          <w:szCs w:val="24"/>
        </w:rPr>
      </w:pPr>
      <w:r>
        <w:rPr>
          <w:noProof/>
          <w:lang w:eastAsia="en-US"/>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18415</wp:posOffset>
            </wp:positionV>
            <wp:extent cx="6829425" cy="4076700"/>
            <wp:effectExtent l="0" t="0" r="9525"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14">
                      <a:extLst>
                        <a:ext uri="{28A0092B-C50C-407E-A947-70E740481C1C}">
                          <a14:useLocalDpi xmlns:a14="http://schemas.microsoft.com/office/drawing/2010/main" val="0"/>
                        </a:ext>
                      </a:extLst>
                    </a:blip>
                    <a:srcRect l="685" t="11703" r="12172" b="5029"/>
                    <a:stretch>
                      <a:fillRect/>
                    </a:stretch>
                  </pic:blipFill>
                  <pic:spPr bwMode="auto">
                    <a:xfrm>
                      <a:off x="0" y="0"/>
                      <a:ext cx="6829425" cy="4076700"/>
                    </a:xfrm>
                    <a:prstGeom prst="rect">
                      <a:avLst/>
                    </a:prstGeom>
                    <a:noFill/>
                  </pic:spPr>
                </pic:pic>
              </a:graphicData>
            </a:graphic>
            <wp14:sizeRelH relativeFrom="page">
              <wp14:pctWidth>0</wp14:pctWidth>
            </wp14:sizeRelH>
            <wp14:sizeRelV relativeFrom="page">
              <wp14:pctHeight>0</wp14:pctHeight>
            </wp14:sizeRelV>
          </wp:anchor>
        </w:drawing>
      </w:r>
    </w:p>
    <w:p w:rsidR="00E020A2" w:rsidRPr="005634ED" w:rsidRDefault="004430F1" w:rsidP="005634ED">
      <w:pPr>
        <w:rPr>
          <w:rFonts w:ascii="Times New Roman" w:hAnsi="Times New Roman"/>
          <w:szCs w:val="24"/>
        </w:rPr>
      </w:pPr>
      <w:r>
        <w:rPr>
          <w:rFonts w:ascii="Times New Roman" w:hAnsi="Times New Roman"/>
          <w:szCs w:val="24"/>
        </w:rPr>
        <w:pict>
          <v:rect id="_x0000_i1032" style="width:0;height:1.5pt" o:hralign="center" o:hrstd="t" o:hr="t" fillcolor="#a0a0a0" stroked="f"/>
        </w:pict>
      </w:r>
    </w:p>
    <w:p w:rsidR="00E020A2" w:rsidRPr="005634ED" w:rsidRDefault="00E020A2" w:rsidP="003869A7">
      <w:pPr>
        <w:tabs>
          <w:tab w:val="left" w:pos="3637"/>
        </w:tabs>
        <w:rPr>
          <w:rFonts w:ascii="Times New Roman" w:hAnsi="Times New Roman"/>
          <w:szCs w:val="24"/>
        </w:rPr>
      </w:pPr>
      <w:r w:rsidRPr="005634ED">
        <w:rPr>
          <w:rFonts w:ascii="Times New Roman" w:hAnsi="Times New Roman"/>
          <w:szCs w:val="24"/>
        </w:rPr>
        <w:t>Figure 7. MDS representation of source co-citation profiles. Stress value = 0.417</w:t>
      </w:r>
      <w:r>
        <w:rPr>
          <w:rFonts w:ascii="Times New Roman" w:hAnsi="Times New Roman"/>
          <w:szCs w:val="24"/>
        </w:rPr>
        <w:t>.</w:t>
      </w:r>
    </w:p>
    <w:p w:rsidR="00E020A2" w:rsidRPr="005634ED" w:rsidRDefault="00E020A2" w:rsidP="003869A7">
      <w:pPr>
        <w:rPr>
          <w:rFonts w:ascii="Times New Roman" w:hAnsi="Times New Roman"/>
          <w:szCs w:val="24"/>
        </w:rPr>
      </w:pPr>
      <w:r w:rsidRPr="005634ED">
        <w:rPr>
          <w:rFonts w:ascii="Times New Roman" w:hAnsi="Times New Roman"/>
          <w:szCs w:val="24"/>
        </w:rPr>
        <w:tab/>
      </w:r>
    </w:p>
    <w:p w:rsidR="00E020A2" w:rsidRPr="005634ED" w:rsidRDefault="00E020A2" w:rsidP="00B518E8">
      <w:pPr>
        <w:ind w:firstLine="480"/>
        <w:rPr>
          <w:rFonts w:ascii="Times New Roman" w:hAnsi="Times New Roman"/>
          <w:szCs w:val="24"/>
        </w:rPr>
      </w:pPr>
      <w:r w:rsidRPr="005634ED">
        <w:rPr>
          <w:rFonts w:ascii="Times New Roman" w:hAnsi="Times New Roman"/>
          <w:szCs w:val="24"/>
        </w:rPr>
        <w:t>To identify individual works that contribute most to the cohesion of the network, we performed the betweenness centrality on the article co-citation network. The works that have a particularly strong bridging character relative to their degrees were highlighted.</w:t>
      </w:r>
    </w:p>
    <w:p w:rsidR="00E020A2" w:rsidRPr="005634ED" w:rsidRDefault="00E020A2" w:rsidP="00841FD6">
      <w:pPr>
        <w:tabs>
          <w:tab w:val="left" w:pos="3637"/>
        </w:tabs>
        <w:rPr>
          <w:rFonts w:ascii="Times New Roman" w:hAnsi="Times New Roman"/>
          <w:szCs w:val="24"/>
        </w:rPr>
      </w:pPr>
    </w:p>
    <w:p w:rsidR="00E020A2" w:rsidRPr="005634ED" w:rsidRDefault="00933B92" w:rsidP="00841FD6">
      <w:pPr>
        <w:tabs>
          <w:tab w:val="left" w:pos="3637"/>
        </w:tabs>
        <w:rPr>
          <w:rFonts w:ascii="Times New Roman" w:hAnsi="Times New Roman"/>
          <w:szCs w:val="24"/>
        </w:rPr>
      </w:pPr>
      <w:r>
        <w:rPr>
          <w:rFonts w:ascii="Times New Roman" w:hAnsi="Times New Roman"/>
          <w:noProof/>
          <w:szCs w:val="24"/>
          <w:lang w:eastAsia="en-US"/>
        </w:rPr>
        <w:lastRenderedPageBreak/>
        <w:drawing>
          <wp:inline distT="0" distB="0" distL="0" distR="0">
            <wp:extent cx="4330700" cy="6944360"/>
            <wp:effectExtent l="0" t="0" r="0" b="0"/>
            <wp:docPr id="16" name="圖片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0700" cy="6944360"/>
                    </a:xfrm>
                    <a:prstGeom prst="rect">
                      <a:avLst/>
                    </a:prstGeom>
                    <a:noFill/>
                    <a:ln>
                      <a:noFill/>
                    </a:ln>
                  </pic:spPr>
                </pic:pic>
              </a:graphicData>
            </a:graphic>
          </wp:inline>
        </w:drawing>
      </w:r>
    </w:p>
    <w:p w:rsidR="00E020A2" w:rsidRDefault="004430F1" w:rsidP="005634ED">
      <w:pPr>
        <w:tabs>
          <w:tab w:val="left" w:pos="3637"/>
        </w:tabs>
        <w:rPr>
          <w:rFonts w:ascii="Times New Roman" w:hAnsi="Times New Roman"/>
          <w:szCs w:val="24"/>
        </w:rPr>
      </w:pPr>
      <w:r>
        <w:rPr>
          <w:rFonts w:ascii="Times New Roman" w:hAnsi="Times New Roman"/>
          <w:szCs w:val="24"/>
        </w:rPr>
        <w:pict>
          <v:rect id="_x0000_i1033" style="width:0;height:1.5pt" o:hralign="center" o:hrstd="t" o:hr="t" fillcolor="#a0a0a0" stroked="f"/>
        </w:pict>
      </w:r>
    </w:p>
    <w:p w:rsidR="00E020A2" w:rsidRPr="005634ED" w:rsidRDefault="00E020A2" w:rsidP="005634ED">
      <w:pPr>
        <w:tabs>
          <w:tab w:val="left" w:pos="3637"/>
        </w:tabs>
        <w:rPr>
          <w:rFonts w:ascii="Times New Roman" w:hAnsi="Times New Roman"/>
          <w:szCs w:val="24"/>
        </w:rPr>
      </w:pPr>
      <w:r w:rsidRPr="005634ED">
        <w:rPr>
          <w:rFonts w:ascii="Times New Roman" w:hAnsi="Times New Roman"/>
          <w:szCs w:val="24"/>
        </w:rPr>
        <w:t>Table 2. To 40 works with highest betweenness centrality</w:t>
      </w:r>
      <w:r>
        <w:rPr>
          <w:rFonts w:ascii="Times New Roman" w:hAnsi="Times New Roman"/>
          <w:szCs w:val="24"/>
        </w:rPr>
        <w:t>.</w:t>
      </w:r>
    </w:p>
    <w:p w:rsidR="00E020A2" w:rsidRPr="005634ED" w:rsidRDefault="00E020A2" w:rsidP="000A573E">
      <w:pPr>
        <w:rPr>
          <w:rFonts w:ascii="Times New Roman" w:hAnsi="Times New Roman"/>
          <w:szCs w:val="24"/>
        </w:rPr>
      </w:pPr>
    </w:p>
    <w:p w:rsidR="00E020A2" w:rsidRPr="00933B92" w:rsidRDefault="00E020A2" w:rsidP="000A573E">
      <w:pPr>
        <w:rPr>
          <w:rFonts w:ascii="Times New Roman" w:hAnsi="Times New Roman"/>
          <w:b/>
          <w:szCs w:val="24"/>
        </w:rPr>
      </w:pPr>
      <w:r w:rsidRPr="00933B92">
        <w:rPr>
          <w:rFonts w:ascii="Times New Roman" w:hAnsi="Times New Roman"/>
          <w:b/>
          <w:szCs w:val="24"/>
        </w:rPr>
        <w:t xml:space="preserve">Discussion and Conclusion </w:t>
      </w:r>
    </w:p>
    <w:p w:rsidR="00E020A2" w:rsidRPr="005634ED" w:rsidRDefault="00E020A2" w:rsidP="00933B92">
      <w:pPr>
        <w:rPr>
          <w:rFonts w:ascii="Times New Roman" w:hAnsi="Times New Roman"/>
          <w:szCs w:val="24"/>
        </w:rPr>
      </w:pPr>
      <w:r w:rsidRPr="005634ED">
        <w:rPr>
          <w:rFonts w:ascii="Times New Roman" w:hAnsi="Times New Roman"/>
          <w:szCs w:val="24"/>
        </w:rPr>
        <w:t xml:space="preserve">In this study we applied social analytical methods to measure the degree of knowledge diversity and cohesion of the bibliographic elements extracted from the article co-citation network. The results show that the degree of knowledge diversity is </w:t>
      </w:r>
      <w:r w:rsidRPr="005634ED">
        <w:rPr>
          <w:rFonts w:ascii="Times New Roman" w:hAnsi="Times New Roman"/>
          <w:szCs w:val="24"/>
        </w:rPr>
        <w:lastRenderedPageBreak/>
        <w:t xml:space="preserve">high, as demonstrated by the evenness of the keyword distribution, as well as the presence of publication sources from diverse disciplines. It was shown that DH has gradually evolved into a diverse yet cohesive area of research, where, despite high degree of local research interests, the reachability remains high globally. </w:t>
      </w:r>
      <w:r w:rsidRPr="005634ED">
        <w:rPr>
          <w:rFonts w:ascii="Times New Roman" w:hAnsi="Times New Roman"/>
          <w:szCs w:val="24"/>
        </w:rPr>
        <w:br/>
      </w:r>
      <w:r w:rsidRPr="005634ED">
        <w:rPr>
          <w:rFonts w:ascii="Times New Roman" w:hAnsi="Times New Roman"/>
          <w:szCs w:val="24"/>
        </w:rPr>
        <w:tab/>
        <w:t xml:space="preserve">A longitudinal approach allows us to observe the evolving of the knowledge integration and the shifting of research topics in an area of research. There are obviously also several limitations to our study. First, even though we have tried to be inclusive in our selection to target set, some of the important works are </w:t>
      </w:r>
      <w:r>
        <w:rPr>
          <w:rFonts w:ascii="Times New Roman" w:hAnsi="Times New Roman"/>
          <w:szCs w:val="24"/>
        </w:rPr>
        <w:t xml:space="preserve">inevitably </w:t>
      </w:r>
      <w:r w:rsidRPr="005634ED">
        <w:rPr>
          <w:rFonts w:ascii="Times New Roman" w:hAnsi="Times New Roman"/>
          <w:szCs w:val="24"/>
        </w:rPr>
        <w:t xml:space="preserve">missed, especially those published in non-English languages. Using Google </w:t>
      </w:r>
      <w:r>
        <w:rPr>
          <w:rFonts w:ascii="Times New Roman" w:hAnsi="Times New Roman"/>
          <w:szCs w:val="24"/>
        </w:rPr>
        <w:t>S</w:t>
      </w:r>
      <w:r w:rsidRPr="005634ED">
        <w:rPr>
          <w:rFonts w:ascii="Times New Roman" w:hAnsi="Times New Roman"/>
          <w:szCs w:val="24"/>
        </w:rPr>
        <w:t xml:space="preserve">cholar as the source of co-citation data also entails inherent bias. Currently our interpretation of the visualization of the field is quite preliminary due to the lack of domain knowledge in DH. In the future, author co-citation network will also be constructed, which, with the help of expert inputs, will help us better interpret the sub-domains and their relationships in DH.         </w:t>
      </w:r>
    </w:p>
    <w:p w:rsidR="00E020A2" w:rsidRPr="005634ED" w:rsidRDefault="00E020A2" w:rsidP="000A573E">
      <w:pPr>
        <w:rPr>
          <w:rFonts w:ascii="Times New Roman" w:hAnsi="Times New Roman"/>
          <w:szCs w:val="24"/>
        </w:rPr>
      </w:pPr>
    </w:p>
    <w:p w:rsidR="00E020A2" w:rsidRPr="005634ED" w:rsidRDefault="00E020A2" w:rsidP="000A573E">
      <w:pPr>
        <w:rPr>
          <w:rFonts w:ascii="Times New Roman" w:hAnsi="Times New Roman"/>
          <w:b/>
          <w:szCs w:val="24"/>
        </w:rPr>
      </w:pPr>
      <w:r w:rsidRPr="005634ED">
        <w:rPr>
          <w:rFonts w:ascii="Times New Roman" w:hAnsi="Times New Roman"/>
          <w:b/>
          <w:szCs w:val="24"/>
        </w:rPr>
        <w:t xml:space="preserve">References </w:t>
      </w:r>
    </w:p>
    <w:p w:rsidR="00E020A2" w:rsidRPr="005634ED" w:rsidRDefault="00E020A2" w:rsidP="005634ED">
      <w:pPr>
        <w:rPr>
          <w:rFonts w:ascii="Times New Roman" w:hAnsi="Times New Roman"/>
          <w:szCs w:val="24"/>
          <w:shd w:val="clear" w:color="auto" w:fill="FFFFFF"/>
        </w:rPr>
      </w:pPr>
      <w:r w:rsidRPr="00933B92">
        <w:rPr>
          <w:rFonts w:ascii="Times New Roman" w:hAnsi="Times New Roman"/>
          <w:b/>
          <w:szCs w:val="24"/>
          <w:shd w:val="clear" w:color="auto" w:fill="FFFFFF"/>
        </w:rPr>
        <w:t>Borgatti, S. P., Everett, M. G.</w:t>
      </w:r>
      <w:r>
        <w:rPr>
          <w:rFonts w:ascii="Times New Roman" w:hAnsi="Times New Roman"/>
          <w:b/>
          <w:szCs w:val="24"/>
          <w:shd w:val="clear" w:color="auto" w:fill="FFFFFF"/>
        </w:rPr>
        <w:t xml:space="preserve"> and </w:t>
      </w:r>
      <w:r w:rsidRPr="00933B92">
        <w:rPr>
          <w:rFonts w:ascii="Times New Roman" w:hAnsi="Times New Roman"/>
          <w:b/>
          <w:szCs w:val="24"/>
          <w:shd w:val="clear" w:color="auto" w:fill="FFFFFF"/>
        </w:rPr>
        <w:t>Johnson, J. C.</w:t>
      </w:r>
      <w:r w:rsidRPr="005634ED">
        <w:rPr>
          <w:rFonts w:ascii="Times New Roman" w:hAnsi="Times New Roman"/>
          <w:szCs w:val="24"/>
          <w:shd w:val="clear" w:color="auto" w:fill="FFFFFF"/>
        </w:rPr>
        <w:t xml:space="preserve"> (2013).</w:t>
      </w:r>
      <w:r w:rsidRPr="005634ED">
        <w:rPr>
          <w:rStyle w:val="apple-converted-space"/>
          <w:rFonts w:ascii="Times New Roman" w:hAnsi="Times New Roman"/>
          <w:szCs w:val="24"/>
          <w:shd w:val="clear" w:color="auto" w:fill="FFFFFF"/>
        </w:rPr>
        <w:t> </w:t>
      </w:r>
      <w:r w:rsidRPr="005634ED">
        <w:rPr>
          <w:rFonts w:ascii="Times New Roman" w:hAnsi="Times New Roman"/>
          <w:i/>
          <w:iCs/>
          <w:szCs w:val="24"/>
          <w:shd w:val="clear" w:color="auto" w:fill="FFFFFF"/>
        </w:rPr>
        <w:t xml:space="preserve">Analyzing </w:t>
      </w:r>
      <w:r>
        <w:rPr>
          <w:rFonts w:ascii="Times New Roman" w:hAnsi="Times New Roman"/>
          <w:i/>
          <w:iCs/>
          <w:szCs w:val="24"/>
          <w:shd w:val="clear" w:color="auto" w:fill="FFFFFF"/>
        </w:rPr>
        <w:t>S</w:t>
      </w:r>
      <w:r w:rsidRPr="005634ED">
        <w:rPr>
          <w:rFonts w:ascii="Times New Roman" w:hAnsi="Times New Roman"/>
          <w:i/>
          <w:iCs/>
          <w:szCs w:val="24"/>
          <w:shd w:val="clear" w:color="auto" w:fill="FFFFFF"/>
        </w:rPr>
        <w:t xml:space="preserve">ocial </w:t>
      </w:r>
      <w:r>
        <w:rPr>
          <w:rFonts w:ascii="Times New Roman" w:hAnsi="Times New Roman"/>
          <w:i/>
          <w:iCs/>
          <w:szCs w:val="24"/>
          <w:shd w:val="clear" w:color="auto" w:fill="FFFFFF"/>
        </w:rPr>
        <w:t>N</w:t>
      </w:r>
      <w:r w:rsidRPr="005634ED">
        <w:rPr>
          <w:rFonts w:ascii="Times New Roman" w:hAnsi="Times New Roman"/>
          <w:i/>
          <w:iCs/>
          <w:szCs w:val="24"/>
          <w:shd w:val="clear" w:color="auto" w:fill="FFFFFF"/>
        </w:rPr>
        <w:t>etworks</w:t>
      </w:r>
      <w:r w:rsidRPr="005634ED">
        <w:rPr>
          <w:rFonts w:ascii="Times New Roman" w:hAnsi="Times New Roman"/>
          <w:szCs w:val="24"/>
          <w:shd w:val="clear" w:color="auto" w:fill="FFFFFF"/>
        </w:rPr>
        <w:t>. SAGE.</w:t>
      </w:r>
    </w:p>
    <w:p w:rsidR="00E020A2" w:rsidRPr="005634ED" w:rsidRDefault="00E020A2" w:rsidP="005634ED">
      <w:pPr>
        <w:rPr>
          <w:rFonts w:ascii="Times New Roman" w:hAnsi="Times New Roman"/>
          <w:szCs w:val="24"/>
          <w:shd w:val="clear" w:color="auto" w:fill="FFFFFF"/>
        </w:rPr>
      </w:pPr>
      <w:r w:rsidRPr="00933B92">
        <w:rPr>
          <w:rFonts w:ascii="Times New Roman" w:hAnsi="Times New Roman"/>
          <w:b/>
          <w:szCs w:val="24"/>
          <w:shd w:val="clear" w:color="auto" w:fill="FFFFFF"/>
        </w:rPr>
        <w:t>Porter, A. L., Cohen, A. S., Roessner, J. D.</w:t>
      </w:r>
      <w:r>
        <w:rPr>
          <w:rFonts w:ascii="Times New Roman" w:hAnsi="Times New Roman"/>
          <w:b/>
          <w:szCs w:val="24"/>
          <w:shd w:val="clear" w:color="auto" w:fill="FFFFFF"/>
        </w:rPr>
        <w:t xml:space="preserve"> and </w:t>
      </w:r>
      <w:r w:rsidRPr="00933B92">
        <w:rPr>
          <w:rFonts w:ascii="Times New Roman" w:hAnsi="Times New Roman"/>
          <w:b/>
          <w:szCs w:val="24"/>
          <w:shd w:val="clear" w:color="auto" w:fill="FFFFFF"/>
        </w:rPr>
        <w:t>Perreault, M.</w:t>
      </w:r>
      <w:r w:rsidRPr="005634ED">
        <w:rPr>
          <w:rFonts w:ascii="Times New Roman" w:hAnsi="Times New Roman"/>
          <w:szCs w:val="24"/>
          <w:shd w:val="clear" w:color="auto" w:fill="FFFFFF"/>
        </w:rPr>
        <w:t xml:space="preserve"> (2007). Measuring</w:t>
      </w:r>
    </w:p>
    <w:p w:rsidR="00E020A2" w:rsidRPr="005634ED" w:rsidRDefault="00E020A2" w:rsidP="005634ED">
      <w:pPr>
        <w:rPr>
          <w:rFonts w:ascii="Times New Roman" w:hAnsi="Times New Roman"/>
          <w:szCs w:val="24"/>
          <w:shd w:val="clear" w:color="auto" w:fill="FFFFFF"/>
        </w:rPr>
      </w:pPr>
      <w:r>
        <w:rPr>
          <w:rFonts w:ascii="Times New Roman" w:hAnsi="Times New Roman"/>
          <w:szCs w:val="24"/>
          <w:shd w:val="clear" w:color="auto" w:fill="FFFFFF"/>
        </w:rPr>
        <w:t>R</w:t>
      </w:r>
      <w:r w:rsidRPr="005634ED">
        <w:rPr>
          <w:rFonts w:ascii="Times New Roman" w:hAnsi="Times New Roman"/>
          <w:szCs w:val="24"/>
          <w:shd w:val="clear" w:color="auto" w:fill="FFFFFF"/>
        </w:rPr>
        <w:t xml:space="preserve">esearcher </w:t>
      </w:r>
      <w:r>
        <w:rPr>
          <w:rFonts w:ascii="Times New Roman" w:hAnsi="Times New Roman"/>
          <w:szCs w:val="24"/>
          <w:shd w:val="clear" w:color="auto" w:fill="FFFFFF"/>
        </w:rPr>
        <w:t>I</w:t>
      </w:r>
      <w:r w:rsidRPr="005634ED">
        <w:rPr>
          <w:rFonts w:ascii="Times New Roman" w:hAnsi="Times New Roman"/>
          <w:szCs w:val="24"/>
          <w:shd w:val="clear" w:color="auto" w:fill="FFFFFF"/>
        </w:rPr>
        <w:t>nterdisciplinarity.</w:t>
      </w:r>
      <w:r w:rsidRPr="005634ED">
        <w:rPr>
          <w:rStyle w:val="apple-converted-space"/>
          <w:rFonts w:ascii="Times New Roman" w:hAnsi="Times New Roman"/>
          <w:szCs w:val="24"/>
          <w:shd w:val="clear" w:color="auto" w:fill="FFFFFF"/>
        </w:rPr>
        <w:t> </w:t>
      </w:r>
      <w:r w:rsidRPr="005634ED">
        <w:rPr>
          <w:rFonts w:ascii="Times New Roman" w:hAnsi="Times New Roman"/>
          <w:i/>
          <w:iCs/>
          <w:szCs w:val="24"/>
          <w:shd w:val="clear" w:color="auto" w:fill="FFFFFF"/>
        </w:rPr>
        <w:t>Scientometrics</w:t>
      </w:r>
      <w:r>
        <w:rPr>
          <w:rFonts w:ascii="Times New Roman" w:hAnsi="Times New Roman"/>
          <w:i/>
          <w:iCs/>
          <w:szCs w:val="24"/>
          <w:shd w:val="clear" w:color="auto" w:fill="FFFFFF"/>
        </w:rPr>
        <w:t>,</w:t>
      </w:r>
      <w:r w:rsidRPr="005634ED">
        <w:rPr>
          <w:rStyle w:val="apple-converted-space"/>
          <w:rFonts w:ascii="Times New Roman" w:hAnsi="Times New Roman"/>
          <w:szCs w:val="24"/>
          <w:shd w:val="clear" w:color="auto" w:fill="FFFFFF"/>
        </w:rPr>
        <w:t> </w:t>
      </w:r>
      <w:r w:rsidRPr="00933B92">
        <w:rPr>
          <w:rFonts w:ascii="Times New Roman" w:hAnsi="Times New Roman"/>
          <w:b/>
          <w:iCs/>
          <w:szCs w:val="24"/>
          <w:shd w:val="clear" w:color="auto" w:fill="FFFFFF"/>
        </w:rPr>
        <w:t>72</w:t>
      </w:r>
      <w:r w:rsidRPr="005634ED">
        <w:rPr>
          <w:rFonts w:ascii="Times New Roman" w:hAnsi="Times New Roman"/>
          <w:szCs w:val="24"/>
          <w:shd w:val="clear" w:color="auto" w:fill="FFFFFF"/>
        </w:rPr>
        <w:t>(1)</w:t>
      </w:r>
      <w:r>
        <w:rPr>
          <w:rFonts w:ascii="Times New Roman" w:hAnsi="Times New Roman"/>
          <w:szCs w:val="24"/>
          <w:shd w:val="clear" w:color="auto" w:fill="FFFFFF"/>
        </w:rPr>
        <w:t>:</w:t>
      </w:r>
      <w:r w:rsidRPr="005634ED">
        <w:rPr>
          <w:rFonts w:ascii="Times New Roman" w:hAnsi="Times New Roman"/>
          <w:szCs w:val="24"/>
          <w:shd w:val="clear" w:color="auto" w:fill="FFFFFF"/>
        </w:rPr>
        <w:t xml:space="preserve"> 117</w:t>
      </w:r>
      <w:r>
        <w:rPr>
          <w:rFonts w:ascii="Times New Roman" w:hAnsi="Times New Roman"/>
          <w:szCs w:val="24"/>
          <w:shd w:val="clear" w:color="auto" w:fill="FFFFFF"/>
        </w:rPr>
        <w:t>–</w:t>
      </w:r>
      <w:r w:rsidRPr="005634ED">
        <w:rPr>
          <w:rFonts w:ascii="Times New Roman" w:hAnsi="Times New Roman"/>
          <w:szCs w:val="24"/>
          <w:shd w:val="clear" w:color="auto" w:fill="FFFFFF"/>
        </w:rPr>
        <w:t>47.</w:t>
      </w:r>
    </w:p>
    <w:p w:rsidR="00E020A2" w:rsidRPr="005634ED" w:rsidRDefault="00E020A2" w:rsidP="005634ED">
      <w:pPr>
        <w:rPr>
          <w:rFonts w:ascii="Times New Roman" w:hAnsi="Times New Roman"/>
          <w:szCs w:val="24"/>
          <w:shd w:val="clear" w:color="auto" w:fill="FFFFFF"/>
        </w:rPr>
      </w:pPr>
      <w:r w:rsidRPr="00933B92">
        <w:rPr>
          <w:rFonts w:ascii="Times New Roman" w:hAnsi="Times New Roman"/>
          <w:b/>
          <w:szCs w:val="24"/>
          <w:shd w:val="clear" w:color="auto" w:fill="FFFFFF"/>
        </w:rPr>
        <w:t>Rafols, I.</w:t>
      </w:r>
      <w:r>
        <w:rPr>
          <w:rFonts w:ascii="Times New Roman" w:hAnsi="Times New Roman"/>
          <w:b/>
          <w:szCs w:val="24"/>
          <w:shd w:val="clear" w:color="auto" w:fill="FFFFFF"/>
        </w:rPr>
        <w:t xml:space="preserve"> and </w:t>
      </w:r>
      <w:r w:rsidRPr="00933B92">
        <w:rPr>
          <w:rFonts w:ascii="Times New Roman" w:hAnsi="Times New Roman"/>
          <w:b/>
          <w:szCs w:val="24"/>
          <w:shd w:val="clear" w:color="auto" w:fill="FFFFFF"/>
        </w:rPr>
        <w:t>Meyer, M.</w:t>
      </w:r>
      <w:r w:rsidRPr="005634ED">
        <w:rPr>
          <w:rFonts w:ascii="Times New Roman" w:hAnsi="Times New Roman"/>
          <w:szCs w:val="24"/>
          <w:shd w:val="clear" w:color="auto" w:fill="FFFFFF"/>
        </w:rPr>
        <w:t xml:space="preserve"> (2010). Diversity and </w:t>
      </w:r>
      <w:r>
        <w:rPr>
          <w:rFonts w:ascii="Times New Roman" w:hAnsi="Times New Roman"/>
          <w:szCs w:val="24"/>
          <w:shd w:val="clear" w:color="auto" w:fill="FFFFFF"/>
        </w:rPr>
        <w:t>N</w:t>
      </w:r>
      <w:r w:rsidRPr="005634ED">
        <w:rPr>
          <w:rFonts w:ascii="Times New Roman" w:hAnsi="Times New Roman"/>
          <w:szCs w:val="24"/>
          <w:shd w:val="clear" w:color="auto" w:fill="FFFFFF"/>
        </w:rPr>
        <w:t xml:space="preserve">etwork </w:t>
      </w:r>
      <w:r>
        <w:rPr>
          <w:rFonts w:ascii="Times New Roman" w:hAnsi="Times New Roman"/>
          <w:szCs w:val="24"/>
          <w:shd w:val="clear" w:color="auto" w:fill="FFFFFF"/>
        </w:rPr>
        <w:t>C</w:t>
      </w:r>
      <w:r w:rsidRPr="005634ED">
        <w:rPr>
          <w:rFonts w:ascii="Times New Roman" w:hAnsi="Times New Roman"/>
          <w:szCs w:val="24"/>
          <w:shd w:val="clear" w:color="auto" w:fill="FFFFFF"/>
        </w:rPr>
        <w:t xml:space="preserve">oherence as </w:t>
      </w:r>
      <w:r>
        <w:rPr>
          <w:rFonts w:ascii="Times New Roman" w:hAnsi="Times New Roman"/>
          <w:szCs w:val="24"/>
          <w:shd w:val="clear" w:color="auto" w:fill="FFFFFF"/>
        </w:rPr>
        <w:t>I</w:t>
      </w:r>
      <w:r w:rsidRPr="005634ED">
        <w:rPr>
          <w:rFonts w:ascii="Times New Roman" w:hAnsi="Times New Roman"/>
          <w:szCs w:val="24"/>
          <w:shd w:val="clear" w:color="auto" w:fill="FFFFFF"/>
        </w:rPr>
        <w:t xml:space="preserve">ndicators of </w:t>
      </w:r>
      <w:r>
        <w:rPr>
          <w:rFonts w:ascii="Times New Roman" w:hAnsi="Times New Roman"/>
          <w:szCs w:val="24"/>
          <w:shd w:val="clear" w:color="auto" w:fill="FFFFFF"/>
        </w:rPr>
        <w:t>I</w:t>
      </w:r>
      <w:r w:rsidRPr="005634ED">
        <w:rPr>
          <w:rFonts w:ascii="Times New Roman" w:hAnsi="Times New Roman"/>
          <w:szCs w:val="24"/>
          <w:shd w:val="clear" w:color="auto" w:fill="FFFFFF"/>
        </w:rPr>
        <w:t xml:space="preserve">nterdisciplinarity: </w:t>
      </w:r>
      <w:r>
        <w:rPr>
          <w:rFonts w:ascii="Times New Roman" w:hAnsi="Times New Roman"/>
          <w:szCs w:val="24"/>
          <w:shd w:val="clear" w:color="auto" w:fill="FFFFFF"/>
        </w:rPr>
        <w:t>C</w:t>
      </w:r>
      <w:r w:rsidRPr="005634ED">
        <w:rPr>
          <w:rFonts w:ascii="Times New Roman" w:hAnsi="Times New Roman"/>
          <w:szCs w:val="24"/>
          <w:shd w:val="clear" w:color="auto" w:fill="FFFFFF"/>
        </w:rPr>
        <w:t xml:space="preserve">ase </w:t>
      </w:r>
      <w:r>
        <w:rPr>
          <w:rFonts w:ascii="Times New Roman" w:hAnsi="Times New Roman"/>
          <w:szCs w:val="24"/>
          <w:shd w:val="clear" w:color="auto" w:fill="FFFFFF"/>
        </w:rPr>
        <w:t>S</w:t>
      </w:r>
      <w:r w:rsidRPr="005634ED">
        <w:rPr>
          <w:rFonts w:ascii="Times New Roman" w:hAnsi="Times New Roman"/>
          <w:szCs w:val="24"/>
          <w:shd w:val="clear" w:color="auto" w:fill="FFFFFF"/>
        </w:rPr>
        <w:t xml:space="preserve">tudies in </w:t>
      </w:r>
      <w:r>
        <w:rPr>
          <w:rFonts w:ascii="Times New Roman" w:hAnsi="Times New Roman"/>
          <w:szCs w:val="24"/>
          <w:shd w:val="clear" w:color="auto" w:fill="FFFFFF"/>
        </w:rPr>
        <w:t>B</w:t>
      </w:r>
      <w:r w:rsidRPr="005634ED">
        <w:rPr>
          <w:rFonts w:ascii="Times New Roman" w:hAnsi="Times New Roman"/>
          <w:szCs w:val="24"/>
          <w:shd w:val="clear" w:color="auto" w:fill="FFFFFF"/>
        </w:rPr>
        <w:t>ionanoscience.</w:t>
      </w:r>
      <w:r w:rsidRPr="005634ED">
        <w:rPr>
          <w:rStyle w:val="apple-converted-space"/>
          <w:rFonts w:ascii="Times New Roman" w:hAnsi="Times New Roman"/>
          <w:szCs w:val="24"/>
          <w:shd w:val="clear" w:color="auto" w:fill="FFFFFF"/>
        </w:rPr>
        <w:t> </w:t>
      </w:r>
      <w:r w:rsidRPr="005634ED">
        <w:rPr>
          <w:rFonts w:ascii="Times New Roman" w:hAnsi="Times New Roman"/>
          <w:i/>
          <w:iCs/>
          <w:szCs w:val="24"/>
          <w:shd w:val="clear" w:color="auto" w:fill="FFFFFF"/>
        </w:rPr>
        <w:t>Scientometrics</w:t>
      </w:r>
      <w:r w:rsidRPr="005634ED">
        <w:rPr>
          <w:rFonts w:ascii="Times New Roman" w:hAnsi="Times New Roman"/>
          <w:szCs w:val="24"/>
          <w:shd w:val="clear" w:color="auto" w:fill="FFFFFF"/>
        </w:rPr>
        <w:t>,</w:t>
      </w:r>
      <w:r w:rsidRPr="005634ED">
        <w:rPr>
          <w:rStyle w:val="apple-converted-space"/>
          <w:rFonts w:ascii="Times New Roman" w:hAnsi="Times New Roman"/>
          <w:szCs w:val="24"/>
          <w:shd w:val="clear" w:color="auto" w:fill="FFFFFF"/>
        </w:rPr>
        <w:t> </w:t>
      </w:r>
      <w:r w:rsidRPr="00933B92">
        <w:rPr>
          <w:rFonts w:ascii="Times New Roman" w:hAnsi="Times New Roman"/>
          <w:b/>
          <w:iCs/>
          <w:szCs w:val="24"/>
          <w:shd w:val="clear" w:color="auto" w:fill="FFFFFF"/>
        </w:rPr>
        <w:t>82</w:t>
      </w:r>
      <w:r w:rsidRPr="005634ED">
        <w:rPr>
          <w:rFonts w:ascii="Times New Roman" w:hAnsi="Times New Roman"/>
          <w:szCs w:val="24"/>
          <w:shd w:val="clear" w:color="auto" w:fill="FFFFFF"/>
        </w:rPr>
        <w:t>(2)</w:t>
      </w:r>
      <w:r>
        <w:rPr>
          <w:rFonts w:ascii="Times New Roman" w:hAnsi="Times New Roman"/>
          <w:szCs w:val="24"/>
          <w:shd w:val="clear" w:color="auto" w:fill="FFFFFF"/>
        </w:rPr>
        <w:t>:</w:t>
      </w:r>
      <w:r w:rsidRPr="005634ED">
        <w:rPr>
          <w:rFonts w:ascii="Times New Roman" w:hAnsi="Times New Roman"/>
          <w:szCs w:val="24"/>
          <w:shd w:val="clear" w:color="auto" w:fill="FFFFFF"/>
        </w:rPr>
        <w:t xml:space="preserve"> 263</w:t>
      </w:r>
      <w:r>
        <w:rPr>
          <w:rFonts w:ascii="Times New Roman" w:hAnsi="Times New Roman"/>
          <w:szCs w:val="24"/>
          <w:shd w:val="clear" w:color="auto" w:fill="FFFFFF"/>
        </w:rPr>
        <w:t>–</w:t>
      </w:r>
      <w:r w:rsidRPr="005634ED">
        <w:rPr>
          <w:rFonts w:ascii="Times New Roman" w:hAnsi="Times New Roman"/>
          <w:szCs w:val="24"/>
          <w:shd w:val="clear" w:color="auto" w:fill="FFFFFF"/>
        </w:rPr>
        <w:t>87.</w:t>
      </w:r>
    </w:p>
    <w:p w:rsidR="00E020A2" w:rsidRPr="005634ED" w:rsidRDefault="00E020A2" w:rsidP="005634ED">
      <w:pPr>
        <w:rPr>
          <w:rFonts w:ascii="Times New Roman" w:hAnsi="Times New Roman"/>
          <w:szCs w:val="24"/>
        </w:rPr>
      </w:pPr>
    </w:p>
    <w:p w:rsidR="00E020A2" w:rsidRPr="005634ED" w:rsidRDefault="00E020A2" w:rsidP="00666A56">
      <w:pPr>
        <w:rPr>
          <w:rFonts w:ascii="Times New Roman" w:hAnsi="Times New Roman"/>
          <w:szCs w:val="24"/>
        </w:rPr>
      </w:pPr>
    </w:p>
    <w:p w:rsidR="00E020A2" w:rsidRPr="005634ED" w:rsidRDefault="002D596E" w:rsidP="00666A56">
      <w:pPr>
        <w:tabs>
          <w:tab w:val="left" w:pos="3637"/>
        </w:tabs>
        <w:rPr>
          <w:rFonts w:ascii="Times New Roman" w:hAnsi="Times New Roman"/>
          <w:szCs w:val="24"/>
        </w:rPr>
      </w:pPr>
      <w:r>
        <w:rPr>
          <w:rFonts w:ascii="Times New Roman" w:hAnsi="Times New Roman"/>
          <w:szCs w:val="24"/>
        </w:rPr>
        <w:t xml:space="preserve"> </w:t>
      </w:r>
      <w:bookmarkStart w:id="0" w:name="_GoBack"/>
      <w:bookmarkEnd w:id="0"/>
    </w:p>
    <w:p w:rsidR="00E020A2" w:rsidRPr="005634ED" w:rsidRDefault="00E020A2" w:rsidP="00666A56">
      <w:pPr>
        <w:tabs>
          <w:tab w:val="left" w:pos="3637"/>
        </w:tabs>
        <w:rPr>
          <w:rFonts w:ascii="Times New Roman" w:hAnsi="Times New Roman"/>
          <w:szCs w:val="24"/>
        </w:rPr>
      </w:pPr>
    </w:p>
    <w:p w:rsidR="00E020A2" w:rsidRPr="005634ED" w:rsidRDefault="00E020A2">
      <w:pPr>
        <w:tabs>
          <w:tab w:val="left" w:pos="3637"/>
        </w:tabs>
        <w:rPr>
          <w:rFonts w:ascii="Times New Roman" w:hAnsi="Times New Roman"/>
          <w:szCs w:val="24"/>
        </w:rPr>
      </w:pPr>
    </w:p>
    <w:sectPr w:rsidR="00E020A2" w:rsidRPr="005634ED" w:rsidSect="005B4DF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0F1" w:rsidRDefault="004430F1" w:rsidP="004305E6">
      <w:r>
        <w:separator/>
      </w:r>
    </w:p>
  </w:endnote>
  <w:endnote w:type="continuationSeparator" w:id="0">
    <w:p w:rsidR="004430F1" w:rsidRDefault="004430F1" w:rsidP="00430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0F1" w:rsidRDefault="004430F1" w:rsidP="004305E6">
      <w:r>
        <w:separator/>
      </w:r>
    </w:p>
  </w:footnote>
  <w:footnote w:type="continuationSeparator" w:id="0">
    <w:p w:rsidR="004430F1" w:rsidRDefault="004430F1" w:rsidP="004305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A3827"/>
    <w:multiLevelType w:val="hybridMultilevel"/>
    <w:tmpl w:val="619E822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93B3971"/>
    <w:multiLevelType w:val="hybridMultilevel"/>
    <w:tmpl w:val="7008524C"/>
    <w:lvl w:ilvl="0" w:tplc="30BADC56">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
    <w:nsid w:val="74496702"/>
    <w:multiLevelType w:val="hybridMultilevel"/>
    <w:tmpl w:val="620CCE78"/>
    <w:lvl w:ilvl="0" w:tplc="197648C0">
      <w:numFmt w:val="bullet"/>
      <w:lvlText w:val=""/>
      <w:lvlJc w:val="left"/>
      <w:pPr>
        <w:ind w:left="360" w:hanging="360"/>
      </w:pPr>
      <w:rPr>
        <w:rFonts w:ascii="Wingdings" w:eastAsia="PMingLiU"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2E3"/>
    <w:rsid w:val="00001B76"/>
    <w:rsid w:val="00017152"/>
    <w:rsid w:val="00034A1B"/>
    <w:rsid w:val="00062337"/>
    <w:rsid w:val="00071169"/>
    <w:rsid w:val="00075402"/>
    <w:rsid w:val="00075745"/>
    <w:rsid w:val="00083303"/>
    <w:rsid w:val="0008577F"/>
    <w:rsid w:val="000913B8"/>
    <w:rsid w:val="000A573E"/>
    <w:rsid w:val="000A77B2"/>
    <w:rsid w:val="000B1B3B"/>
    <w:rsid w:val="000C2683"/>
    <w:rsid w:val="000C7812"/>
    <w:rsid w:val="000D69EF"/>
    <w:rsid w:val="00157BE9"/>
    <w:rsid w:val="0017071E"/>
    <w:rsid w:val="00190AEE"/>
    <w:rsid w:val="00195FE9"/>
    <w:rsid w:val="001A3297"/>
    <w:rsid w:val="001B00DB"/>
    <w:rsid w:val="001B50E9"/>
    <w:rsid w:val="001D557A"/>
    <w:rsid w:val="001D67AC"/>
    <w:rsid w:val="001F6962"/>
    <w:rsid w:val="00200C85"/>
    <w:rsid w:val="00226335"/>
    <w:rsid w:val="00237B2A"/>
    <w:rsid w:val="00252830"/>
    <w:rsid w:val="0027580A"/>
    <w:rsid w:val="00277EF9"/>
    <w:rsid w:val="002A0FDB"/>
    <w:rsid w:val="002D52E0"/>
    <w:rsid w:val="002D596E"/>
    <w:rsid w:val="002E2DB5"/>
    <w:rsid w:val="00307435"/>
    <w:rsid w:val="00321836"/>
    <w:rsid w:val="0034104C"/>
    <w:rsid w:val="003468E1"/>
    <w:rsid w:val="00352FDB"/>
    <w:rsid w:val="00360ED0"/>
    <w:rsid w:val="00364F9B"/>
    <w:rsid w:val="003834F1"/>
    <w:rsid w:val="003844C2"/>
    <w:rsid w:val="003869A7"/>
    <w:rsid w:val="0039256B"/>
    <w:rsid w:val="003C32BE"/>
    <w:rsid w:val="003C3F9E"/>
    <w:rsid w:val="003D16F0"/>
    <w:rsid w:val="003D728C"/>
    <w:rsid w:val="003E6319"/>
    <w:rsid w:val="003F1217"/>
    <w:rsid w:val="003F46E4"/>
    <w:rsid w:val="00401D20"/>
    <w:rsid w:val="00402070"/>
    <w:rsid w:val="00412110"/>
    <w:rsid w:val="00421D6F"/>
    <w:rsid w:val="004305E6"/>
    <w:rsid w:val="00434900"/>
    <w:rsid w:val="004430F1"/>
    <w:rsid w:val="00443FF0"/>
    <w:rsid w:val="00465BBE"/>
    <w:rsid w:val="00472538"/>
    <w:rsid w:val="00484765"/>
    <w:rsid w:val="004929C4"/>
    <w:rsid w:val="004974E7"/>
    <w:rsid w:val="004B4FFD"/>
    <w:rsid w:val="004D4830"/>
    <w:rsid w:val="004F69BD"/>
    <w:rsid w:val="004F7E2F"/>
    <w:rsid w:val="005006EE"/>
    <w:rsid w:val="00506DDE"/>
    <w:rsid w:val="0054449F"/>
    <w:rsid w:val="00551143"/>
    <w:rsid w:val="005513C7"/>
    <w:rsid w:val="00551770"/>
    <w:rsid w:val="005609D6"/>
    <w:rsid w:val="00561B9B"/>
    <w:rsid w:val="005623A0"/>
    <w:rsid w:val="005634ED"/>
    <w:rsid w:val="00584742"/>
    <w:rsid w:val="005857E0"/>
    <w:rsid w:val="005A5419"/>
    <w:rsid w:val="005A6CCF"/>
    <w:rsid w:val="005B4DF4"/>
    <w:rsid w:val="005D691F"/>
    <w:rsid w:val="00613EFE"/>
    <w:rsid w:val="0061442C"/>
    <w:rsid w:val="00637308"/>
    <w:rsid w:val="00643745"/>
    <w:rsid w:val="00646728"/>
    <w:rsid w:val="006629D8"/>
    <w:rsid w:val="00666A56"/>
    <w:rsid w:val="00673EFC"/>
    <w:rsid w:val="006755B9"/>
    <w:rsid w:val="00676165"/>
    <w:rsid w:val="00683B0A"/>
    <w:rsid w:val="006865BB"/>
    <w:rsid w:val="006961BB"/>
    <w:rsid w:val="006A1564"/>
    <w:rsid w:val="006A235B"/>
    <w:rsid w:val="006C6EC2"/>
    <w:rsid w:val="006D359F"/>
    <w:rsid w:val="00713881"/>
    <w:rsid w:val="007342D7"/>
    <w:rsid w:val="00737C35"/>
    <w:rsid w:val="00750608"/>
    <w:rsid w:val="007528AC"/>
    <w:rsid w:val="00752927"/>
    <w:rsid w:val="007612E3"/>
    <w:rsid w:val="007726F6"/>
    <w:rsid w:val="00785D49"/>
    <w:rsid w:val="00790AD6"/>
    <w:rsid w:val="00797B1C"/>
    <w:rsid w:val="007A0DB0"/>
    <w:rsid w:val="007B0213"/>
    <w:rsid w:val="007B5C4D"/>
    <w:rsid w:val="007D518F"/>
    <w:rsid w:val="007D5D5F"/>
    <w:rsid w:val="007D615C"/>
    <w:rsid w:val="007D675E"/>
    <w:rsid w:val="00806A73"/>
    <w:rsid w:val="00814149"/>
    <w:rsid w:val="0081595D"/>
    <w:rsid w:val="0083045D"/>
    <w:rsid w:val="00841FD6"/>
    <w:rsid w:val="00843D2F"/>
    <w:rsid w:val="00844164"/>
    <w:rsid w:val="00865BE1"/>
    <w:rsid w:val="00886450"/>
    <w:rsid w:val="00890E6B"/>
    <w:rsid w:val="008B7CA5"/>
    <w:rsid w:val="008C7232"/>
    <w:rsid w:val="008E4A45"/>
    <w:rsid w:val="008F77F0"/>
    <w:rsid w:val="00924F50"/>
    <w:rsid w:val="009324B1"/>
    <w:rsid w:val="00933B92"/>
    <w:rsid w:val="00935CED"/>
    <w:rsid w:val="009610B3"/>
    <w:rsid w:val="00963EC3"/>
    <w:rsid w:val="00966142"/>
    <w:rsid w:val="00971569"/>
    <w:rsid w:val="00985307"/>
    <w:rsid w:val="00993142"/>
    <w:rsid w:val="00997A63"/>
    <w:rsid w:val="009B1040"/>
    <w:rsid w:val="009E0978"/>
    <w:rsid w:val="009E09F8"/>
    <w:rsid w:val="009E252C"/>
    <w:rsid w:val="009E44C2"/>
    <w:rsid w:val="009E4BBE"/>
    <w:rsid w:val="00A079DF"/>
    <w:rsid w:val="00A13B0B"/>
    <w:rsid w:val="00A14943"/>
    <w:rsid w:val="00A30FF2"/>
    <w:rsid w:val="00A35374"/>
    <w:rsid w:val="00A42A6D"/>
    <w:rsid w:val="00A4362C"/>
    <w:rsid w:val="00A540B2"/>
    <w:rsid w:val="00A546E1"/>
    <w:rsid w:val="00A55C3C"/>
    <w:rsid w:val="00A7231C"/>
    <w:rsid w:val="00A72F40"/>
    <w:rsid w:val="00A76D1D"/>
    <w:rsid w:val="00AA5369"/>
    <w:rsid w:val="00AC027B"/>
    <w:rsid w:val="00AD4411"/>
    <w:rsid w:val="00AE785F"/>
    <w:rsid w:val="00B518E8"/>
    <w:rsid w:val="00B52776"/>
    <w:rsid w:val="00B54F58"/>
    <w:rsid w:val="00B613A1"/>
    <w:rsid w:val="00B6231F"/>
    <w:rsid w:val="00B62DAE"/>
    <w:rsid w:val="00B75F9D"/>
    <w:rsid w:val="00BA1ADB"/>
    <w:rsid w:val="00BA3B7E"/>
    <w:rsid w:val="00BA3E75"/>
    <w:rsid w:val="00BC570B"/>
    <w:rsid w:val="00BD633C"/>
    <w:rsid w:val="00BE21F8"/>
    <w:rsid w:val="00BF6BDE"/>
    <w:rsid w:val="00C16AB0"/>
    <w:rsid w:val="00C34A11"/>
    <w:rsid w:val="00C34D64"/>
    <w:rsid w:val="00C376FF"/>
    <w:rsid w:val="00C54CEE"/>
    <w:rsid w:val="00C634DE"/>
    <w:rsid w:val="00C76EE9"/>
    <w:rsid w:val="00C76EFF"/>
    <w:rsid w:val="00CA13EB"/>
    <w:rsid w:val="00CA1EB0"/>
    <w:rsid w:val="00CC576C"/>
    <w:rsid w:val="00CE315B"/>
    <w:rsid w:val="00D20B86"/>
    <w:rsid w:val="00D40D1F"/>
    <w:rsid w:val="00D60E15"/>
    <w:rsid w:val="00D63896"/>
    <w:rsid w:val="00D66A6F"/>
    <w:rsid w:val="00DD52E4"/>
    <w:rsid w:val="00DE0B54"/>
    <w:rsid w:val="00DE585F"/>
    <w:rsid w:val="00E020A2"/>
    <w:rsid w:val="00E06124"/>
    <w:rsid w:val="00E07DC0"/>
    <w:rsid w:val="00E101CE"/>
    <w:rsid w:val="00E17971"/>
    <w:rsid w:val="00E22FAF"/>
    <w:rsid w:val="00E23EDB"/>
    <w:rsid w:val="00E267C9"/>
    <w:rsid w:val="00E42C58"/>
    <w:rsid w:val="00E53709"/>
    <w:rsid w:val="00E6059A"/>
    <w:rsid w:val="00E66B9C"/>
    <w:rsid w:val="00E717F7"/>
    <w:rsid w:val="00E76DF7"/>
    <w:rsid w:val="00E7787D"/>
    <w:rsid w:val="00E80FB2"/>
    <w:rsid w:val="00E970CE"/>
    <w:rsid w:val="00EA16B2"/>
    <w:rsid w:val="00ED456F"/>
    <w:rsid w:val="00EF2F27"/>
    <w:rsid w:val="00F46BB3"/>
    <w:rsid w:val="00F64CC0"/>
    <w:rsid w:val="00F71F36"/>
    <w:rsid w:val="00F7249C"/>
    <w:rsid w:val="00F876EB"/>
    <w:rsid w:val="00F91CC2"/>
    <w:rsid w:val="00F97364"/>
    <w:rsid w:val="00FA213D"/>
    <w:rsid w:val="00FA403D"/>
    <w:rsid w:val="00FC4F73"/>
    <w:rsid w:val="00FC5F3F"/>
    <w:rsid w:val="00FE6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B16D80A-C035-4E60-A314-116FB790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0" w:line="240" w:lineRule="auto"/>
    </w:pPr>
    <w:rPr>
      <w:kern w:val="2"/>
      <w:sz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C3F9E"/>
    <w:pPr>
      <w:ind w:leftChars="200" w:left="480"/>
    </w:pPr>
  </w:style>
  <w:style w:type="paragraph" w:styleId="BalloonText">
    <w:name w:val="Balloon Text"/>
    <w:basedOn w:val="Normal"/>
    <w:link w:val="BalloonTextChar"/>
    <w:uiPriority w:val="99"/>
    <w:semiHidden/>
    <w:rsid w:val="005623A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623A0"/>
    <w:rPr>
      <w:rFonts w:ascii="Tahoma" w:hAnsi="Tahoma"/>
      <w:sz w:val="16"/>
    </w:rPr>
  </w:style>
  <w:style w:type="character" w:customStyle="1" w:styleId="apple-converted-space">
    <w:name w:val="apple-converted-space"/>
    <w:basedOn w:val="DefaultParagraphFont"/>
    <w:uiPriority w:val="99"/>
    <w:rsid w:val="00AC027B"/>
    <w:rPr>
      <w:rFonts w:cs="Times New Roman"/>
    </w:rPr>
  </w:style>
  <w:style w:type="table" w:styleId="TableGrid">
    <w:name w:val="Table Grid"/>
    <w:basedOn w:val="TableNormal"/>
    <w:uiPriority w:val="99"/>
    <w:rsid w:val="00E76DF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305E6"/>
    <w:pPr>
      <w:tabs>
        <w:tab w:val="center" w:pos="4153"/>
        <w:tab w:val="right" w:pos="8306"/>
      </w:tabs>
      <w:snapToGrid w:val="0"/>
    </w:pPr>
    <w:rPr>
      <w:sz w:val="20"/>
      <w:szCs w:val="20"/>
    </w:rPr>
  </w:style>
  <w:style w:type="character" w:customStyle="1" w:styleId="HeaderChar">
    <w:name w:val="Header Char"/>
    <w:basedOn w:val="DefaultParagraphFont"/>
    <w:link w:val="Header"/>
    <w:uiPriority w:val="99"/>
    <w:locked/>
    <w:rsid w:val="004305E6"/>
    <w:rPr>
      <w:sz w:val="20"/>
    </w:rPr>
  </w:style>
  <w:style w:type="paragraph" w:styleId="Footer">
    <w:name w:val="footer"/>
    <w:basedOn w:val="Normal"/>
    <w:link w:val="FooterChar"/>
    <w:uiPriority w:val="99"/>
    <w:rsid w:val="004305E6"/>
    <w:pPr>
      <w:tabs>
        <w:tab w:val="center" w:pos="4153"/>
        <w:tab w:val="right" w:pos="8306"/>
      </w:tabs>
      <w:snapToGrid w:val="0"/>
    </w:pPr>
    <w:rPr>
      <w:sz w:val="20"/>
      <w:szCs w:val="20"/>
    </w:rPr>
  </w:style>
  <w:style w:type="character" w:customStyle="1" w:styleId="FooterChar">
    <w:name w:val="Footer Char"/>
    <w:basedOn w:val="DefaultParagraphFont"/>
    <w:link w:val="Footer"/>
    <w:uiPriority w:val="99"/>
    <w:locked/>
    <w:rsid w:val="004305E6"/>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989637">
      <w:marLeft w:val="0"/>
      <w:marRight w:val="0"/>
      <w:marTop w:val="0"/>
      <w:marBottom w:val="0"/>
      <w:divBdr>
        <w:top w:val="none" w:sz="0" w:space="0" w:color="auto"/>
        <w:left w:val="none" w:sz="0" w:space="0" w:color="auto"/>
        <w:bottom w:val="none" w:sz="0" w:space="0" w:color="auto"/>
        <w:right w:val="none" w:sz="0" w:space="0" w:color="auto"/>
      </w:divBdr>
    </w:div>
    <w:div w:id="1763989638">
      <w:marLeft w:val="0"/>
      <w:marRight w:val="0"/>
      <w:marTop w:val="0"/>
      <w:marBottom w:val="0"/>
      <w:divBdr>
        <w:top w:val="none" w:sz="0" w:space="0" w:color="auto"/>
        <w:left w:val="none" w:sz="0" w:space="0" w:color="auto"/>
        <w:bottom w:val="none" w:sz="0" w:space="0" w:color="auto"/>
        <w:right w:val="none" w:sz="0" w:space="0" w:color="auto"/>
      </w:divBdr>
    </w:div>
    <w:div w:id="1763989639">
      <w:marLeft w:val="0"/>
      <w:marRight w:val="0"/>
      <w:marTop w:val="0"/>
      <w:marBottom w:val="0"/>
      <w:divBdr>
        <w:top w:val="none" w:sz="0" w:space="0" w:color="auto"/>
        <w:left w:val="none" w:sz="0" w:space="0" w:color="auto"/>
        <w:bottom w:val="none" w:sz="0" w:space="0" w:color="auto"/>
        <w:right w:val="none" w:sz="0" w:space="0" w:color="auto"/>
      </w:divBdr>
    </w:div>
    <w:div w:id="1763989640">
      <w:marLeft w:val="0"/>
      <w:marRight w:val="0"/>
      <w:marTop w:val="0"/>
      <w:marBottom w:val="0"/>
      <w:divBdr>
        <w:top w:val="none" w:sz="0" w:space="0" w:color="auto"/>
        <w:left w:val="none" w:sz="0" w:space="0" w:color="auto"/>
        <w:bottom w:val="none" w:sz="0" w:space="0" w:color="auto"/>
        <w:right w:val="none" w:sz="0" w:space="0" w:color="auto"/>
      </w:divBdr>
    </w:div>
    <w:div w:id="1763989641">
      <w:marLeft w:val="0"/>
      <w:marRight w:val="0"/>
      <w:marTop w:val="0"/>
      <w:marBottom w:val="0"/>
      <w:divBdr>
        <w:top w:val="none" w:sz="0" w:space="0" w:color="auto"/>
        <w:left w:val="none" w:sz="0" w:space="0" w:color="auto"/>
        <w:bottom w:val="none" w:sz="0" w:space="0" w:color="auto"/>
        <w:right w:val="none" w:sz="0" w:space="0" w:color="auto"/>
      </w:divBdr>
    </w:div>
    <w:div w:id="1763989642">
      <w:marLeft w:val="0"/>
      <w:marRight w:val="0"/>
      <w:marTop w:val="0"/>
      <w:marBottom w:val="0"/>
      <w:divBdr>
        <w:top w:val="none" w:sz="0" w:space="0" w:color="auto"/>
        <w:left w:val="none" w:sz="0" w:space="0" w:color="auto"/>
        <w:bottom w:val="none" w:sz="0" w:space="0" w:color="auto"/>
        <w:right w:val="none" w:sz="0" w:space="0" w:color="auto"/>
      </w:divBdr>
    </w:div>
    <w:div w:id="1763989643">
      <w:marLeft w:val="0"/>
      <w:marRight w:val="0"/>
      <w:marTop w:val="0"/>
      <w:marBottom w:val="0"/>
      <w:divBdr>
        <w:top w:val="none" w:sz="0" w:space="0" w:color="auto"/>
        <w:left w:val="none" w:sz="0" w:space="0" w:color="auto"/>
        <w:bottom w:val="none" w:sz="0" w:space="0" w:color="auto"/>
        <w:right w:val="none" w:sz="0" w:space="0" w:color="auto"/>
      </w:divBdr>
    </w:div>
    <w:div w:id="1763989644">
      <w:marLeft w:val="0"/>
      <w:marRight w:val="0"/>
      <w:marTop w:val="0"/>
      <w:marBottom w:val="0"/>
      <w:divBdr>
        <w:top w:val="none" w:sz="0" w:space="0" w:color="auto"/>
        <w:left w:val="none" w:sz="0" w:space="0" w:color="auto"/>
        <w:bottom w:val="none" w:sz="0" w:space="0" w:color="auto"/>
        <w:right w:val="none" w:sz="0" w:space="0" w:color="auto"/>
      </w:divBdr>
    </w:div>
    <w:div w:id="1763989645">
      <w:marLeft w:val="0"/>
      <w:marRight w:val="0"/>
      <w:marTop w:val="0"/>
      <w:marBottom w:val="0"/>
      <w:divBdr>
        <w:top w:val="none" w:sz="0" w:space="0" w:color="auto"/>
        <w:left w:val="none" w:sz="0" w:space="0" w:color="auto"/>
        <w:bottom w:val="none" w:sz="0" w:space="0" w:color="auto"/>
        <w:right w:val="none" w:sz="0" w:space="0" w:color="auto"/>
      </w:divBdr>
    </w:div>
    <w:div w:id="1763989646">
      <w:marLeft w:val="0"/>
      <w:marRight w:val="0"/>
      <w:marTop w:val="0"/>
      <w:marBottom w:val="0"/>
      <w:divBdr>
        <w:top w:val="none" w:sz="0" w:space="0" w:color="auto"/>
        <w:left w:val="none" w:sz="0" w:space="0" w:color="auto"/>
        <w:bottom w:val="none" w:sz="0" w:space="0" w:color="auto"/>
        <w:right w:val="none" w:sz="0" w:space="0" w:color="auto"/>
      </w:divBdr>
    </w:div>
    <w:div w:id="1763989647">
      <w:marLeft w:val="0"/>
      <w:marRight w:val="0"/>
      <w:marTop w:val="0"/>
      <w:marBottom w:val="0"/>
      <w:divBdr>
        <w:top w:val="none" w:sz="0" w:space="0" w:color="auto"/>
        <w:left w:val="none" w:sz="0" w:space="0" w:color="auto"/>
        <w:bottom w:val="none" w:sz="0" w:space="0" w:color="auto"/>
        <w:right w:val="none" w:sz="0" w:space="0" w:color="auto"/>
      </w:divBdr>
    </w:div>
    <w:div w:id="1763989648">
      <w:marLeft w:val="0"/>
      <w:marRight w:val="0"/>
      <w:marTop w:val="0"/>
      <w:marBottom w:val="0"/>
      <w:divBdr>
        <w:top w:val="none" w:sz="0" w:space="0" w:color="auto"/>
        <w:left w:val="none" w:sz="0" w:space="0" w:color="auto"/>
        <w:bottom w:val="none" w:sz="0" w:space="0" w:color="auto"/>
        <w:right w:val="none" w:sz="0" w:space="0" w:color="auto"/>
      </w:divBdr>
    </w:div>
    <w:div w:id="1763989649">
      <w:marLeft w:val="0"/>
      <w:marRight w:val="0"/>
      <w:marTop w:val="0"/>
      <w:marBottom w:val="0"/>
      <w:divBdr>
        <w:top w:val="none" w:sz="0" w:space="0" w:color="auto"/>
        <w:left w:val="none" w:sz="0" w:space="0" w:color="auto"/>
        <w:bottom w:val="none" w:sz="0" w:space="0" w:color="auto"/>
        <w:right w:val="none" w:sz="0" w:space="0" w:color="auto"/>
      </w:divBdr>
    </w:div>
    <w:div w:id="1763989650">
      <w:marLeft w:val="0"/>
      <w:marRight w:val="0"/>
      <w:marTop w:val="0"/>
      <w:marBottom w:val="0"/>
      <w:divBdr>
        <w:top w:val="none" w:sz="0" w:space="0" w:color="auto"/>
        <w:left w:val="none" w:sz="0" w:space="0" w:color="auto"/>
        <w:bottom w:val="none" w:sz="0" w:space="0" w:color="auto"/>
        <w:right w:val="none" w:sz="0" w:space="0" w:color="auto"/>
      </w:divBdr>
    </w:div>
    <w:div w:id="1763989651">
      <w:marLeft w:val="0"/>
      <w:marRight w:val="0"/>
      <w:marTop w:val="0"/>
      <w:marBottom w:val="0"/>
      <w:divBdr>
        <w:top w:val="none" w:sz="0" w:space="0" w:color="auto"/>
        <w:left w:val="none" w:sz="0" w:space="0" w:color="auto"/>
        <w:bottom w:val="none" w:sz="0" w:space="0" w:color="auto"/>
        <w:right w:val="none" w:sz="0" w:space="0" w:color="auto"/>
      </w:divBdr>
    </w:div>
    <w:div w:id="176398965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image" Target="media/image3.emf"/><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2" Type="http://schemas.openxmlformats.org/officeDocument/2006/relationships/oleObject" Target="file:///D:\YJCheng\DH%20(backup)\New\data\1211\&#20998;&#26512;.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mctang\Dropbox\DH\New\data\1211\&#20998;&#26512;.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mctang\Dropbox\DH\New\data\1211\&#20998;&#26512;.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mctang\Dropbox\DH\New\data\1211\&#20998;&#26512;.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D:\YJCheng\DH%20(backup)\New\data\1211\&#20998;&#26512;.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D:\YJCheng\DH%20(backup)\New\data\1211\&#20998;&#26512;.xlsx" TargetMode="External"/><Relationship Id="rId1" Type="http://schemas.openxmlformats.org/officeDocument/2006/relationships/themeOverride" Target="../theme/themeOverrid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6.5501482747555115E-2"/>
          <c:y val="5.3472230993913655E-2"/>
          <c:w val="0.5957377361339018"/>
          <c:h val="0.74484827397992248"/>
        </c:manualLayout>
      </c:layout>
      <c:lineChart>
        <c:grouping val="standard"/>
        <c:varyColors val="0"/>
        <c:ser>
          <c:idx val="0"/>
          <c:order val="0"/>
          <c:tx>
            <c:v>Number of articles in each time slice</c:v>
          </c:tx>
          <c:marker>
            <c:symbol val="circle"/>
            <c:size val="3"/>
          </c:marker>
          <c:cat>
            <c:strRef>
              <c:f>切片分析!$A$4:$A$25</c:f>
              <c:strCache>
                <c:ptCount val="22"/>
                <c:pt idx="0">
                  <c:v>1989-1993</c:v>
                </c:pt>
                <c:pt idx="1">
                  <c:v>1990-1994</c:v>
                </c:pt>
                <c:pt idx="2">
                  <c:v>1991-1995</c:v>
                </c:pt>
                <c:pt idx="3">
                  <c:v>1992-1996</c:v>
                </c:pt>
                <c:pt idx="4">
                  <c:v>1993-1997</c:v>
                </c:pt>
                <c:pt idx="5">
                  <c:v>1994-1998</c:v>
                </c:pt>
                <c:pt idx="6">
                  <c:v>1995-1999</c:v>
                </c:pt>
                <c:pt idx="7">
                  <c:v>1996-2000</c:v>
                </c:pt>
                <c:pt idx="8">
                  <c:v>1997-2001</c:v>
                </c:pt>
                <c:pt idx="9">
                  <c:v>1998-2002</c:v>
                </c:pt>
                <c:pt idx="10">
                  <c:v>1999-2003</c:v>
                </c:pt>
                <c:pt idx="11">
                  <c:v>2000-2004</c:v>
                </c:pt>
                <c:pt idx="12">
                  <c:v>2001-2005</c:v>
                </c:pt>
                <c:pt idx="13">
                  <c:v>2002-2006</c:v>
                </c:pt>
                <c:pt idx="14">
                  <c:v>2003-2007</c:v>
                </c:pt>
                <c:pt idx="15">
                  <c:v>2004-2008</c:v>
                </c:pt>
                <c:pt idx="16">
                  <c:v>2005-2009</c:v>
                </c:pt>
                <c:pt idx="17">
                  <c:v>2006-2010</c:v>
                </c:pt>
                <c:pt idx="18">
                  <c:v>2007-2011</c:v>
                </c:pt>
                <c:pt idx="19">
                  <c:v>2008-2012</c:v>
                </c:pt>
                <c:pt idx="20">
                  <c:v>2009-2013</c:v>
                </c:pt>
                <c:pt idx="21">
                  <c:v>2010-2014</c:v>
                </c:pt>
              </c:strCache>
            </c:strRef>
          </c:cat>
          <c:val>
            <c:numRef>
              <c:f>切片分析!$J$4:$J$25</c:f>
              <c:numCache>
                <c:formatCode>General</c:formatCode>
                <c:ptCount val="22"/>
                <c:pt idx="0">
                  <c:v>15</c:v>
                </c:pt>
                <c:pt idx="1">
                  <c:v>36</c:v>
                </c:pt>
                <c:pt idx="2">
                  <c:v>53</c:v>
                </c:pt>
                <c:pt idx="3">
                  <c:v>76</c:v>
                </c:pt>
                <c:pt idx="4">
                  <c:v>94</c:v>
                </c:pt>
                <c:pt idx="5">
                  <c:v>99</c:v>
                </c:pt>
                <c:pt idx="6">
                  <c:v>101</c:v>
                </c:pt>
                <c:pt idx="7">
                  <c:v>116</c:v>
                </c:pt>
                <c:pt idx="8">
                  <c:v>123</c:v>
                </c:pt>
                <c:pt idx="9">
                  <c:v>127</c:v>
                </c:pt>
                <c:pt idx="10">
                  <c:v>134</c:v>
                </c:pt>
                <c:pt idx="11">
                  <c:v>160</c:v>
                </c:pt>
                <c:pt idx="12">
                  <c:v>204</c:v>
                </c:pt>
                <c:pt idx="13">
                  <c:v>249</c:v>
                </c:pt>
                <c:pt idx="14">
                  <c:v>299</c:v>
                </c:pt>
                <c:pt idx="15">
                  <c:v>389</c:v>
                </c:pt>
                <c:pt idx="16">
                  <c:v>485</c:v>
                </c:pt>
                <c:pt idx="17">
                  <c:v>530</c:v>
                </c:pt>
                <c:pt idx="18">
                  <c:v>692</c:v>
                </c:pt>
                <c:pt idx="19">
                  <c:v>898</c:v>
                </c:pt>
                <c:pt idx="20">
                  <c:v>1244</c:v>
                </c:pt>
                <c:pt idx="21">
                  <c:v>1329</c:v>
                </c:pt>
              </c:numCache>
            </c:numRef>
          </c:val>
          <c:smooth val="0"/>
        </c:ser>
        <c:ser>
          <c:idx val="1"/>
          <c:order val="1"/>
          <c:tx>
            <c:v>Number of connected nodes in the co-citation network over time</c:v>
          </c:tx>
          <c:marker>
            <c:symbol val="square"/>
            <c:size val="3"/>
          </c:marker>
          <c:cat>
            <c:strRef>
              <c:f>切片分析!$A$4:$A$25</c:f>
              <c:strCache>
                <c:ptCount val="22"/>
                <c:pt idx="0">
                  <c:v>1989-1993</c:v>
                </c:pt>
                <c:pt idx="1">
                  <c:v>1990-1994</c:v>
                </c:pt>
                <c:pt idx="2">
                  <c:v>1991-1995</c:v>
                </c:pt>
                <c:pt idx="3">
                  <c:v>1992-1996</c:v>
                </c:pt>
                <c:pt idx="4">
                  <c:v>1993-1997</c:v>
                </c:pt>
                <c:pt idx="5">
                  <c:v>1994-1998</c:v>
                </c:pt>
                <c:pt idx="6">
                  <c:v>1995-1999</c:v>
                </c:pt>
                <c:pt idx="7">
                  <c:v>1996-2000</c:v>
                </c:pt>
                <c:pt idx="8">
                  <c:v>1997-2001</c:v>
                </c:pt>
                <c:pt idx="9">
                  <c:v>1998-2002</c:v>
                </c:pt>
                <c:pt idx="10">
                  <c:v>1999-2003</c:v>
                </c:pt>
                <c:pt idx="11">
                  <c:v>2000-2004</c:v>
                </c:pt>
                <c:pt idx="12">
                  <c:v>2001-2005</c:v>
                </c:pt>
                <c:pt idx="13">
                  <c:v>2002-2006</c:v>
                </c:pt>
                <c:pt idx="14">
                  <c:v>2003-2007</c:v>
                </c:pt>
                <c:pt idx="15">
                  <c:v>2004-2008</c:v>
                </c:pt>
                <c:pt idx="16">
                  <c:v>2005-2009</c:v>
                </c:pt>
                <c:pt idx="17">
                  <c:v>2006-2010</c:v>
                </c:pt>
                <c:pt idx="18">
                  <c:v>2007-2011</c:v>
                </c:pt>
                <c:pt idx="19">
                  <c:v>2008-2012</c:v>
                </c:pt>
                <c:pt idx="20">
                  <c:v>2009-2013</c:v>
                </c:pt>
                <c:pt idx="21">
                  <c:v>2010-2014</c:v>
                </c:pt>
              </c:strCache>
            </c:strRef>
          </c:cat>
          <c:val>
            <c:numRef>
              <c:f>切片分析!$I$4:$I$25</c:f>
              <c:numCache>
                <c:formatCode>General</c:formatCode>
                <c:ptCount val="22"/>
                <c:pt idx="0">
                  <c:v>2</c:v>
                </c:pt>
                <c:pt idx="1">
                  <c:v>4</c:v>
                </c:pt>
                <c:pt idx="2">
                  <c:v>4</c:v>
                </c:pt>
                <c:pt idx="3">
                  <c:v>8</c:v>
                </c:pt>
                <c:pt idx="4">
                  <c:v>11</c:v>
                </c:pt>
                <c:pt idx="5">
                  <c:v>9</c:v>
                </c:pt>
                <c:pt idx="6">
                  <c:v>15</c:v>
                </c:pt>
                <c:pt idx="7">
                  <c:v>14</c:v>
                </c:pt>
                <c:pt idx="8">
                  <c:v>13</c:v>
                </c:pt>
                <c:pt idx="9">
                  <c:v>16</c:v>
                </c:pt>
                <c:pt idx="10">
                  <c:v>20</c:v>
                </c:pt>
                <c:pt idx="11">
                  <c:v>44</c:v>
                </c:pt>
                <c:pt idx="12">
                  <c:v>83</c:v>
                </c:pt>
                <c:pt idx="13">
                  <c:v>109</c:v>
                </c:pt>
                <c:pt idx="14">
                  <c:v>123</c:v>
                </c:pt>
                <c:pt idx="15">
                  <c:v>165</c:v>
                </c:pt>
                <c:pt idx="16">
                  <c:v>188</c:v>
                </c:pt>
                <c:pt idx="17">
                  <c:v>207</c:v>
                </c:pt>
                <c:pt idx="18">
                  <c:v>249</c:v>
                </c:pt>
                <c:pt idx="19">
                  <c:v>325</c:v>
                </c:pt>
                <c:pt idx="20">
                  <c:v>380</c:v>
                </c:pt>
                <c:pt idx="21">
                  <c:v>331</c:v>
                </c:pt>
              </c:numCache>
            </c:numRef>
          </c:val>
          <c:smooth val="0"/>
        </c:ser>
        <c:dLbls>
          <c:showLegendKey val="0"/>
          <c:showVal val="0"/>
          <c:showCatName val="0"/>
          <c:showSerName val="0"/>
          <c:showPercent val="0"/>
          <c:showBubbleSize val="0"/>
        </c:dLbls>
        <c:marker val="1"/>
        <c:smooth val="0"/>
        <c:axId val="198014520"/>
        <c:axId val="205416752"/>
      </c:lineChart>
      <c:catAx>
        <c:axId val="198014520"/>
        <c:scaling>
          <c:orientation val="minMax"/>
        </c:scaling>
        <c:delete val="0"/>
        <c:axPos val="b"/>
        <c:numFmt formatCode="General" sourceLinked="0"/>
        <c:majorTickMark val="out"/>
        <c:minorTickMark val="none"/>
        <c:tickLblPos val="nextTo"/>
        <c:crossAx val="205416752"/>
        <c:crosses val="autoZero"/>
        <c:auto val="1"/>
        <c:lblAlgn val="ctr"/>
        <c:lblOffset val="100"/>
        <c:noMultiLvlLbl val="0"/>
      </c:catAx>
      <c:valAx>
        <c:axId val="205416752"/>
        <c:scaling>
          <c:orientation val="minMax"/>
        </c:scaling>
        <c:delete val="0"/>
        <c:axPos val="l"/>
        <c:majorGridlines/>
        <c:numFmt formatCode="General" sourceLinked="1"/>
        <c:majorTickMark val="out"/>
        <c:minorTickMark val="none"/>
        <c:tickLblPos val="nextTo"/>
        <c:crossAx val="198014520"/>
        <c:crosses val="autoZero"/>
        <c:crossBetween val="between"/>
      </c:valAx>
    </c:plotArea>
    <c:legend>
      <c:legendPos val="r"/>
      <c:layout>
        <c:manualLayout>
          <c:xMode val="edge"/>
          <c:yMode val="edge"/>
          <c:x val="0.66384607039656007"/>
          <c:y val="0.38918300377983428"/>
          <c:w val="0.33615392960343993"/>
          <c:h val="0.22282265247528202"/>
        </c:manualLayout>
      </c:layout>
      <c:overlay val="0"/>
    </c:legend>
    <c:plotVisOnly val="1"/>
    <c:dispBlanksAs val="span"/>
    <c:showDLblsOverMax val="0"/>
  </c:chart>
  <c:txPr>
    <a:bodyPr/>
    <a:lstStyle/>
    <a:p>
      <a:pPr>
        <a:defRPr sz="700"/>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7373666213264983E-2"/>
          <c:y val="8.3333333333333329E-2"/>
          <c:w val="0.89235087935289925"/>
          <c:h val="0.60092355643044615"/>
        </c:manualLayout>
      </c:layout>
      <c:lineChart>
        <c:grouping val="standard"/>
        <c:varyColors val="0"/>
        <c:ser>
          <c:idx val="0"/>
          <c:order val="0"/>
          <c:tx>
            <c:strRef>
              <c:f>切片分析!$N$1</c:f>
              <c:strCache>
                <c:ptCount val="1"/>
                <c:pt idx="0">
                  <c:v>gini (keyword)</c:v>
                </c:pt>
              </c:strCache>
            </c:strRef>
          </c:tx>
          <c:marker>
            <c:symbol val="circle"/>
            <c:size val="3"/>
          </c:marker>
          <c:cat>
            <c:strRef>
              <c:f>切片分析!$A$2:$A$25</c:f>
              <c:strCache>
                <c:ptCount val="24"/>
                <c:pt idx="0">
                  <c:v>1987-1991</c:v>
                </c:pt>
                <c:pt idx="1">
                  <c:v>1988-1990</c:v>
                </c:pt>
                <c:pt idx="2">
                  <c:v>1989-1993</c:v>
                </c:pt>
                <c:pt idx="3">
                  <c:v>1990-1994</c:v>
                </c:pt>
                <c:pt idx="4">
                  <c:v>1991-1995</c:v>
                </c:pt>
                <c:pt idx="5">
                  <c:v>1992-1996</c:v>
                </c:pt>
                <c:pt idx="6">
                  <c:v>1993-1997</c:v>
                </c:pt>
                <c:pt idx="7">
                  <c:v>1994-1998</c:v>
                </c:pt>
                <c:pt idx="8">
                  <c:v>1995-1999</c:v>
                </c:pt>
                <c:pt idx="9">
                  <c:v>1996-2000</c:v>
                </c:pt>
                <c:pt idx="10">
                  <c:v>1997-2001</c:v>
                </c:pt>
                <c:pt idx="11">
                  <c:v>1998-2002</c:v>
                </c:pt>
                <c:pt idx="12">
                  <c:v>1999-2003</c:v>
                </c:pt>
                <c:pt idx="13">
                  <c:v>2000-2004</c:v>
                </c:pt>
                <c:pt idx="14">
                  <c:v>2001-2005</c:v>
                </c:pt>
                <c:pt idx="15">
                  <c:v>2002-2006</c:v>
                </c:pt>
                <c:pt idx="16">
                  <c:v>2003-2007</c:v>
                </c:pt>
                <c:pt idx="17">
                  <c:v>2004-2008</c:v>
                </c:pt>
                <c:pt idx="18">
                  <c:v>2005-2009</c:v>
                </c:pt>
                <c:pt idx="19">
                  <c:v>2006-2010</c:v>
                </c:pt>
                <c:pt idx="20">
                  <c:v>2007-2011</c:v>
                </c:pt>
                <c:pt idx="21">
                  <c:v>2008-2012</c:v>
                </c:pt>
                <c:pt idx="22">
                  <c:v>2009-2013</c:v>
                </c:pt>
                <c:pt idx="23">
                  <c:v>2010-2014</c:v>
                </c:pt>
              </c:strCache>
            </c:strRef>
          </c:cat>
          <c:val>
            <c:numRef>
              <c:f>切片分析!$N$2:$N$25</c:f>
              <c:numCache>
                <c:formatCode>General</c:formatCode>
                <c:ptCount val="24"/>
                <c:pt idx="0">
                  <c:v>4.1660000000000003E-2</c:v>
                </c:pt>
                <c:pt idx="1">
                  <c:v>3.4479999999999997E-2</c:v>
                </c:pt>
                <c:pt idx="2">
                  <c:v>0</c:v>
                </c:pt>
                <c:pt idx="3">
                  <c:v>0</c:v>
                </c:pt>
                <c:pt idx="4">
                  <c:v>0</c:v>
                </c:pt>
                <c:pt idx="5">
                  <c:v>6.2210000000000001E-2</c:v>
                </c:pt>
                <c:pt idx="6">
                  <c:v>0.11928</c:v>
                </c:pt>
                <c:pt idx="7">
                  <c:v>0.21154999999999999</c:v>
                </c:pt>
                <c:pt idx="8">
                  <c:v>0.23086000000000001</c:v>
                </c:pt>
                <c:pt idx="9">
                  <c:v>0.21792</c:v>
                </c:pt>
                <c:pt idx="10">
                  <c:v>0.20810999999999999</c:v>
                </c:pt>
                <c:pt idx="11">
                  <c:v>0.23543</c:v>
                </c:pt>
                <c:pt idx="12">
                  <c:v>0.2427</c:v>
                </c:pt>
                <c:pt idx="13">
                  <c:v>0.20251</c:v>
                </c:pt>
                <c:pt idx="14">
                  <c:v>0.18346999999999999</c:v>
                </c:pt>
                <c:pt idx="15">
                  <c:v>0.17881</c:v>
                </c:pt>
                <c:pt idx="16">
                  <c:v>0.17882999999999999</c:v>
                </c:pt>
                <c:pt idx="17">
                  <c:v>0.18737000000000001</c:v>
                </c:pt>
                <c:pt idx="18">
                  <c:v>0.20055999999999999</c:v>
                </c:pt>
                <c:pt idx="19">
                  <c:v>0.21245</c:v>
                </c:pt>
                <c:pt idx="20">
                  <c:v>0.25052000000000002</c:v>
                </c:pt>
                <c:pt idx="21">
                  <c:v>0.26972000000000002</c:v>
                </c:pt>
                <c:pt idx="22">
                  <c:v>0.31982500000000003</c:v>
                </c:pt>
                <c:pt idx="23">
                  <c:v>0.32921</c:v>
                </c:pt>
              </c:numCache>
            </c:numRef>
          </c:val>
          <c:smooth val="0"/>
        </c:ser>
        <c:dLbls>
          <c:showLegendKey val="0"/>
          <c:showVal val="0"/>
          <c:showCatName val="0"/>
          <c:showSerName val="0"/>
          <c:showPercent val="0"/>
          <c:showBubbleSize val="0"/>
        </c:dLbls>
        <c:marker val="1"/>
        <c:smooth val="0"/>
        <c:axId val="318650192"/>
        <c:axId val="318650584"/>
      </c:lineChart>
      <c:catAx>
        <c:axId val="318650192"/>
        <c:scaling>
          <c:orientation val="minMax"/>
        </c:scaling>
        <c:delete val="0"/>
        <c:axPos val="b"/>
        <c:numFmt formatCode="General" sourceLinked="0"/>
        <c:majorTickMark val="out"/>
        <c:minorTickMark val="none"/>
        <c:tickLblPos val="nextTo"/>
        <c:crossAx val="318650584"/>
        <c:crosses val="autoZero"/>
        <c:auto val="1"/>
        <c:lblAlgn val="ctr"/>
        <c:lblOffset val="100"/>
        <c:noMultiLvlLbl val="0"/>
      </c:catAx>
      <c:valAx>
        <c:axId val="318650584"/>
        <c:scaling>
          <c:orientation val="minMax"/>
        </c:scaling>
        <c:delete val="0"/>
        <c:axPos val="l"/>
        <c:majorGridlines/>
        <c:numFmt formatCode="General" sourceLinked="1"/>
        <c:majorTickMark val="out"/>
        <c:minorTickMark val="none"/>
        <c:tickLblPos val="nextTo"/>
        <c:crossAx val="318650192"/>
        <c:crosses val="autoZero"/>
        <c:crossBetween val="between"/>
      </c:valAx>
    </c:plotArea>
    <c:plotVisOnly val="1"/>
    <c:dispBlanksAs val="span"/>
    <c:showDLblsOverMax val="0"/>
  </c:chart>
  <c:txPr>
    <a:bodyPr/>
    <a:lstStyle/>
    <a:p>
      <a:pPr>
        <a:defRPr sz="800"/>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切片分析!$E$1</c:f>
              <c:strCache>
                <c:ptCount val="1"/>
                <c:pt idx="0">
                  <c:v>% of nodes in the giant component (not include isolate)</c:v>
                </c:pt>
              </c:strCache>
            </c:strRef>
          </c:tx>
          <c:marker>
            <c:symbol val="diamond"/>
            <c:size val="3"/>
          </c:marker>
          <c:cat>
            <c:strRef>
              <c:f>(切片分析!$A$2:$A$25,切片分析!$A$3)</c:f>
              <c:strCache>
                <c:ptCount val="25"/>
                <c:pt idx="0">
                  <c:v>1987-1991</c:v>
                </c:pt>
                <c:pt idx="1">
                  <c:v>1988-1990</c:v>
                </c:pt>
                <c:pt idx="2">
                  <c:v>1989-1993</c:v>
                </c:pt>
                <c:pt idx="3">
                  <c:v>1990-1994</c:v>
                </c:pt>
                <c:pt idx="4">
                  <c:v>1991-1995</c:v>
                </c:pt>
                <c:pt idx="5">
                  <c:v>1992-1996</c:v>
                </c:pt>
                <c:pt idx="6">
                  <c:v>1993-1997</c:v>
                </c:pt>
                <c:pt idx="7">
                  <c:v>1994-1998</c:v>
                </c:pt>
                <c:pt idx="8">
                  <c:v>1995-1999</c:v>
                </c:pt>
                <c:pt idx="9">
                  <c:v>1996-2000</c:v>
                </c:pt>
                <c:pt idx="10">
                  <c:v>1997-2001</c:v>
                </c:pt>
                <c:pt idx="11">
                  <c:v>1998-2002</c:v>
                </c:pt>
                <c:pt idx="12">
                  <c:v>1999-2003</c:v>
                </c:pt>
                <c:pt idx="13">
                  <c:v>2000-2004</c:v>
                </c:pt>
                <c:pt idx="14">
                  <c:v>2001-2005</c:v>
                </c:pt>
                <c:pt idx="15">
                  <c:v>2002-2006</c:v>
                </c:pt>
                <c:pt idx="16">
                  <c:v>2003-2007</c:v>
                </c:pt>
                <c:pt idx="17">
                  <c:v>2004-2008</c:v>
                </c:pt>
                <c:pt idx="18">
                  <c:v>2005-2009</c:v>
                </c:pt>
                <c:pt idx="19">
                  <c:v>2006-2010</c:v>
                </c:pt>
                <c:pt idx="20">
                  <c:v>2007-2011</c:v>
                </c:pt>
                <c:pt idx="21">
                  <c:v>2008-2012</c:v>
                </c:pt>
                <c:pt idx="22">
                  <c:v>2009-2013</c:v>
                </c:pt>
                <c:pt idx="23">
                  <c:v>2010-2014</c:v>
                </c:pt>
                <c:pt idx="24">
                  <c:v>1988-1990</c:v>
                </c:pt>
              </c:strCache>
            </c:strRef>
          </c:cat>
          <c:val>
            <c:numRef>
              <c:f>(切片分析!$E$2:$E$25,切片分析!$E$3)</c:f>
              <c:numCache>
                <c:formatCode>General</c:formatCode>
                <c:ptCount val="25"/>
                <c:pt idx="0" formatCode="0.0%">
                  <c:v>1</c:v>
                </c:pt>
                <c:pt idx="2" formatCode="0.0%">
                  <c:v>1</c:v>
                </c:pt>
                <c:pt idx="3" formatCode="0.0%">
                  <c:v>0.5</c:v>
                </c:pt>
                <c:pt idx="4" formatCode="0.0%">
                  <c:v>0.5</c:v>
                </c:pt>
                <c:pt idx="5" formatCode="0.0%">
                  <c:v>0.25</c:v>
                </c:pt>
                <c:pt idx="6" formatCode="0.0%">
                  <c:v>0.27300000000000002</c:v>
                </c:pt>
                <c:pt idx="7" formatCode="0.0%">
                  <c:v>0.33300000000000002</c:v>
                </c:pt>
                <c:pt idx="8" formatCode="0.0%">
                  <c:v>0.33300000000000002</c:v>
                </c:pt>
                <c:pt idx="9" formatCode="0.0%">
                  <c:v>0.28599999999999998</c:v>
                </c:pt>
                <c:pt idx="10" formatCode="0.0%">
                  <c:v>0.308</c:v>
                </c:pt>
                <c:pt idx="11" formatCode="0.0%">
                  <c:v>0.625</c:v>
                </c:pt>
                <c:pt idx="12" formatCode="0.0%">
                  <c:v>0.5</c:v>
                </c:pt>
                <c:pt idx="13" formatCode="0.0%">
                  <c:v>0.77300000000000002</c:v>
                </c:pt>
                <c:pt idx="14" formatCode="0.0%">
                  <c:v>0.88</c:v>
                </c:pt>
                <c:pt idx="15" formatCode="0.0%">
                  <c:v>0.93600000000000005</c:v>
                </c:pt>
                <c:pt idx="16" formatCode="0.0%">
                  <c:v>0.89400000000000002</c:v>
                </c:pt>
                <c:pt idx="17" formatCode="0.0%">
                  <c:v>0.90900000000000003</c:v>
                </c:pt>
                <c:pt idx="18" formatCode="0.0%">
                  <c:v>0.92600000000000005</c:v>
                </c:pt>
                <c:pt idx="19" formatCode="0.0%">
                  <c:v>0.90300000000000002</c:v>
                </c:pt>
                <c:pt idx="20" formatCode="0.0%">
                  <c:v>0.86299999999999999</c:v>
                </c:pt>
                <c:pt idx="21" formatCode="0.0%">
                  <c:v>0.84299999999999997</c:v>
                </c:pt>
                <c:pt idx="22" formatCode="0.0%">
                  <c:v>0.77900000000000003</c:v>
                </c:pt>
                <c:pt idx="23" formatCode="0.0%">
                  <c:v>0.73099999999999998</c:v>
                </c:pt>
              </c:numCache>
            </c:numRef>
          </c:val>
          <c:smooth val="0"/>
        </c:ser>
        <c:ser>
          <c:idx val="1"/>
          <c:order val="1"/>
          <c:tx>
            <c:strRef>
              <c:f>切片分析!$F$1</c:f>
              <c:strCache>
                <c:ptCount val="1"/>
                <c:pt idx="0">
                  <c:v>% of nodes in the giant component (all nodes)</c:v>
                </c:pt>
              </c:strCache>
            </c:strRef>
          </c:tx>
          <c:marker>
            <c:symbol val="square"/>
            <c:size val="3"/>
          </c:marker>
          <c:dPt>
            <c:idx val="0"/>
            <c:bubble3D val="0"/>
          </c:dPt>
          <c:cat>
            <c:strRef>
              <c:f>(切片分析!$A$2:$A$25,切片分析!$A$3)</c:f>
              <c:strCache>
                <c:ptCount val="25"/>
                <c:pt idx="0">
                  <c:v>1987-1991</c:v>
                </c:pt>
                <c:pt idx="1">
                  <c:v>1988-1990</c:v>
                </c:pt>
                <c:pt idx="2">
                  <c:v>1989-1993</c:v>
                </c:pt>
                <c:pt idx="3">
                  <c:v>1990-1994</c:v>
                </c:pt>
                <c:pt idx="4">
                  <c:v>1991-1995</c:v>
                </c:pt>
                <c:pt idx="5">
                  <c:v>1992-1996</c:v>
                </c:pt>
                <c:pt idx="6">
                  <c:v>1993-1997</c:v>
                </c:pt>
                <c:pt idx="7">
                  <c:v>1994-1998</c:v>
                </c:pt>
                <c:pt idx="8">
                  <c:v>1995-1999</c:v>
                </c:pt>
                <c:pt idx="9">
                  <c:v>1996-2000</c:v>
                </c:pt>
                <c:pt idx="10">
                  <c:v>1997-2001</c:v>
                </c:pt>
                <c:pt idx="11">
                  <c:v>1998-2002</c:v>
                </c:pt>
                <c:pt idx="12">
                  <c:v>1999-2003</c:v>
                </c:pt>
                <c:pt idx="13">
                  <c:v>2000-2004</c:v>
                </c:pt>
                <c:pt idx="14">
                  <c:v>2001-2005</c:v>
                </c:pt>
                <c:pt idx="15">
                  <c:v>2002-2006</c:v>
                </c:pt>
                <c:pt idx="16">
                  <c:v>2003-2007</c:v>
                </c:pt>
                <c:pt idx="17">
                  <c:v>2004-2008</c:v>
                </c:pt>
                <c:pt idx="18">
                  <c:v>2005-2009</c:v>
                </c:pt>
                <c:pt idx="19">
                  <c:v>2006-2010</c:v>
                </c:pt>
                <c:pt idx="20">
                  <c:v>2007-2011</c:v>
                </c:pt>
                <c:pt idx="21">
                  <c:v>2008-2012</c:v>
                </c:pt>
                <c:pt idx="22">
                  <c:v>2009-2013</c:v>
                </c:pt>
                <c:pt idx="23">
                  <c:v>2010-2014</c:v>
                </c:pt>
                <c:pt idx="24">
                  <c:v>1988-1990</c:v>
                </c:pt>
              </c:strCache>
            </c:strRef>
          </c:cat>
          <c:val>
            <c:numRef>
              <c:f>(切片分析!$F$2:$F$25,切片分析!$F$3)</c:f>
              <c:numCache>
                <c:formatCode>General</c:formatCode>
                <c:ptCount val="25"/>
                <c:pt idx="0" formatCode="0.0%">
                  <c:v>0.2857142857142857</c:v>
                </c:pt>
                <c:pt idx="2" formatCode="0.0%">
                  <c:v>0.13333333333333333</c:v>
                </c:pt>
                <c:pt idx="3" formatCode="0.0%">
                  <c:v>5.5555555555555552E-2</c:v>
                </c:pt>
                <c:pt idx="4" formatCode="0.0%">
                  <c:v>3.7735849056603772E-2</c:v>
                </c:pt>
                <c:pt idx="5" formatCode="0.0%">
                  <c:v>2.6315789473684209E-2</c:v>
                </c:pt>
                <c:pt idx="6" formatCode="0.0%">
                  <c:v>3.1914893617021274E-2</c:v>
                </c:pt>
                <c:pt idx="7" formatCode="0.0%">
                  <c:v>3.0303030303030304E-2</c:v>
                </c:pt>
                <c:pt idx="8" formatCode="0.0%">
                  <c:v>4.9504950495049507E-2</c:v>
                </c:pt>
                <c:pt idx="9" formatCode="0.0%">
                  <c:v>3.4482758620689655E-2</c:v>
                </c:pt>
                <c:pt idx="10" formatCode="0.0%">
                  <c:v>3.2520325203252036E-2</c:v>
                </c:pt>
                <c:pt idx="11" formatCode="0.0%">
                  <c:v>7.874015748031496E-2</c:v>
                </c:pt>
                <c:pt idx="12" formatCode="0.0%">
                  <c:v>7.4626865671641784E-2</c:v>
                </c:pt>
                <c:pt idx="13" formatCode="0.0%">
                  <c:v>0.21249999999999999</c:v>
                </c:pt>
                <c:pt idx="14" formatCode="0.0%">
                  <c:v>0.35784313725490197</c:v>
                </c:pt>
                <c:pt idx="15" formatCode="0.0%">
                  <c:v>0.40963855421686746</c:v>
                </c:pt>
                <c:pt idx="16" formatCode="0.0%">
                  <c:v>0.36789297658862874</c:v>
                </c:pt>
                <c:pt idx="17" formatCode="0.0%">
                  <c:v>0.38560411311053983</c:v>
                </c:pt>
                <c:pt idx="18" formatCode="0.0%">
                  <c:v>0.35876288659793815</c:v>
                </c:pt>
                <c:pt idx="19" formatCode="0.0%">
                  <c:v>0.35283018867924526</c:v>
                </c:pt>
                <c:pt idx="20" formatCode="0.0%">
                  <c:v>0.31069364161849711</c:v>
                </c:pt>
                <c:pt idx="21" formatCode="0.0%">
                  <c:v>0.30512249443207129</c:v>
                </c:pt>
                <c:pt idx="22" formatCode="0.0%">
                  <c:v>0.23794212218649519</c:v>
                </c:pt>
                <c:pt idx="23" formatCode="0.0%">
                  <c:v>0.18209179834462003</c:v>
                </c:pt>
              </c:numCache>
            </c:numRef>
          </c:val>
          <c:smooth val="0"/>
        </c:ser>
        <c:dLbls>
          <c:showLegendKey val="0"/>
          <c:showVal val="0"/>
          <c:showCatName val="0"/>
          <c:showSerName val="0"/>
          <c:showPercent val="0"/>
          <c:showBubbleSize val="0"/>
        </c:dLbls>
        <c:marker val="1"/>
        <c:smooth val="0"/>
        <c:axId val="318650976"/>
        <c:axId val="318651368"/>
      </c:lineChart>
      <c:catAx>
        <c:axId val="318650976"/>
        <c:scaling>
          <c:orientation val="minMax"/>
        </c:scaling>
        <c:delete val="0"/>
        <c:axPos val="b"/>
        <c:numFmt formatCode="General" sourceLinked="0"/>
        <c:majorTickMark val="out"/>
        <c:minorTickMark val="none"/>
        <c:tickLblPos val="nextTo"/>
        <c:crossAx val="318651368"/>
        <c:crosses val="autoZero"/>
        <c:auto val="1"/>
        <c:lblAlgn val="ctr"/>
        <c:lblOffset val="100"/>
        <c:noMultiLvlLbl val="0"/>
      </c:catAx>
      <c:valAx>
        <c:axId val="318651368"/>
        <c:scaling>
          <c:orientation val="minMax"/>
          <c:max val="1"/>
        </c:scaling>
        <c:delete val="0"/>
        <c:axPos val="l"/>
        <c:numFmt formatCode="0.0%" sourceLinked="1"/>
        <c:majorTickMark val="out"/>
        <c:minorTickMark val="none"/>
        <c:tickLblPos val="nextTo"/>
        <c:crossAx val="318650976"/>
        <c:crosses val="autoZero"/>
        <c:crossBetween val="between"/>
      </c:valAx>
    </c:plotArea>
    <c:legend>
      <c:legendPos val="r"/>
      <c:overlay val="0"/>
    </c:legend>
    <c:plotVisOnly val="0"/>
    <c:dispBlanksAs val="span"/>
    <c:showDLblsOverMax val="0"/>
  </c:chart>
  <c:txPr>
    <a:bodyPr/>
    <a:lstStyle/>
    <a:p>
      <a:pPr>
        <a:defRPr sz="700"/>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6.6074804097597598E-2"/>
          <c:y val="3.8224363827368428E-2"/>
          <c:w val="0.64308191487989708"/>
          <c:h val="0.60218309187882113"/>
        </c:manualLayout>
      </c:layout>
      <c:lineChart>
        <c:grouping val="standard"/>
        <c:varyColors val="0"/>
        <c:ser>
          <c:idx val="0"/>
          <c:order val="0"/>
          <c:tx>
            <c:strRef>
              <c:f>切片分析!$K$1</c:f>
              <c:strCache>
                <c:ptCount val="1"/>
                <c:pt idx="0">
                  <c:v>cluster coefficient (weighted)</c:v>
                </c:pt>
              </c:strCache>
            </c:strRef>
          </c:tx>
          <c:marker>
            <c:symbol val="circle"/>
            <c:size val="3"/>
          </c:marker>
          <c:cat>
            <c:strRef>
              <c:f>切片分析!$A$15:$A$25</c:f>
              <c:strCache>
                <c:ptCount val="11"/>
                <c:pt idx="0">
                  <c:v>2000-2004</c:v>
                </c:pt>
                <c:pt idx="1">
                  <c:v>2001-2005</c:v>
                </c:pt>
                <c:pt idx="2">
                  <c:v>2002-2006</c:v>
                </c:pt>
                <c:pt idx="3">
                  <c:v>2003-2007</c:v>
                </c:pt>
                <c:pt idx="4">
                  <c:v>2004-2008</c:v>
                </c:pt>
                <c:pt idx="5">
                  <c:v>2005-2009</c:v>
                </c:pt>
                <c:pt idx="6">
                  <c:v>2006-2010</c:v>
                </c:pt>
                <c:pt idx="7">
                  <c:v>2007-2011</c:v>
                </c:pt>
                <c:pt idx="8">
                  <c:v>2008-2012</c:v>
                </c:pt>
                <c:pt idx="9">
                  <c:v>2009-2013</c:v>
                </c:pt>
                <c:pt idx="10">
                  <c:v>2010-2014</c:v>
                </c:pt>
              </c:strCache>
            </c:strRef>
          </c:cat>
          <c:val>
            <c:numRef>
              <c:f>切片分析!$K$15:$K$25</c:f>
              <c:numCache>
                <c:formatCode>General</c:formatCode>
                <c:ptCount val="11"/>
                <c:pt idx="0">
                  <c:v>0.91500000000000004</c:v>
                </c:pt>
                <c:pt idx="1">
                  <c:v>0.64300000000000002</c:v>
                </c:pt>
                <c:pt idx="2">
                  <c:v>0.59499999999999997</c:v>
                </c:pt>
                <c:pt idx="3">
                  <c:v>0.57099999999999995</c:v>
                </c:pt>
                <c:pt idx="4">
                  <c:v>0.57799999999999996</c:v>
                </c:pt>
                <c:pt idx="5">
                  <c:v>0.65600000000000003</c:v>
                </c:pt>
                <c:pt idx="6">
                  <c:v>0.66300000000000003</c:v>
                </c:pt>
                <c:pt idx="7">
                  <c:v>0.59299999999999997</c:v>
                </c:pt>
                <c:pt idx="8">
                  <c:v>0.61099999999999999</c:v>
                </c:pt>
                <c:pt idx="9">
                  <c:v>0.61799999999999999</c:v>
                </c:pt>
                <c:pt idx="10">
                  <c:v>0.56699999999999995</c:v>
                </c:pt>
              </c:numCache>
            </c:numRef>
          </c:val>
          <c:smooth val="0"/>
        </c:ser>
        <c:dLbls>
          <c:showLegendKey val="0"/>
          <c:showVal val="0"/>
          <c:showCatName val="0"/>
          <c:showSerName val="0"/>
          <c:showPercent val="0"/>
          <c:showBubbleSize val="0"/>
        </c:dLbls>
        <c:marker val="1"/>
        <c:smooth val="0"/>
        <c:axId val="318652152"/>
        <c:axId val="318652544"/>
      </c:lineChart>
      <c:catAx>
        <c:axId val="318652152"/>
        <c:scaling>
          <c:orientation val="minMax"/>
        </c:scaling>
        <c:delete val="0"/>
        <c:axPos val="b"/>
        <c:numFmt formatCode="General" sourceLinked="0"/>
        <c:majorTickMark val="out"/>
        <c:minorTickMark val="none"/>
        <c:tickLblPos val="nextTo"/>
        <c:crossAx val="318652544"/>
        <c:crosses val="autoZero"/>
        <c:auto val="1"/>
        <c:lblAlgn val="ctr"/>
        <c:lblOffset val="100"/>
        <c:noMultiLvlLbl val="0"/>
      </c:catAx>
      <c:valAx>
        <c:axId val="318652544"/>
        <c:scaling>
          <c:orientation val="minMax"/>
        </c:scaling>
        <c:delete val="0"/>
        <c:axPos val="l"/>
        <c:majorGridlines/>
        <c:numFmt formatCode="General" sourceLinked="1"/>
        <c:majorTickMark val="out"/>
        <c:minorTickMark val="none"/>
        <c:tickLblPos val="nextTo"/>
        <c:crossAx val="318652152"/>
        <c:crosses val="autoZero"/>
        <c:crossBetween val="between"/>
      </c:valAx>
    </c:plotArea>
    <c:legend>
      <c:legendPos val="r"/>
      <c:layout>
        <c:manualLayout>
          <c:xMode val="edge"/>
          <c:yMode val="edge"/>
          <c:x val="0.75133145378258004"/>
          <c:y val="0.45086413436174366"/>
          <c:w val="0.23419521591065129"/>
          <c:h val="0.21117494911699902"/>
        </c:manualLayout>
      </c:layout>
      <c:overlay val="0"/>
    </c:legend>
    <c:plotVisOnly val="1"/>
    <c:dispBlanksAs val="gap"/>
    <c:showDLblsOverMax val="0"/>
  </c:chart>
  <c:txPr>
    <a:bodyPr/>
    <a:lstStyle/>
    <a:p>
      <a:pPr>
        <a:defRPr sz="800"/>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切片分析!$G$1</c:f>
              <c:strCache>
                <c:ptCount val="1"/>
                <c:pt idx="0">
                  <c:v>average distance</c:v>
                </c:pt>
              </c:strCache>
            </c:strRef>
          </c:tx>
          <c:marker>
            <c:symbol val="circle"/>
            <c:size val="3"/>
          </c:marker>
          <c:cat>
            <c:strRef>
              <c:f>切片分析!$A$2:$A$25</c:f>
              <c:strCache>
                <c:ptCount val="24"/>
                <c:pt idx="0">
                  <c:v>1987-1991</c:v>
                </c:pt>
                <c:pt idx="1">
                  <c:v>1988-1990</c:v>
                </c:pt>
                <c:pt idx="2">
                  <c:v>1989-1993</c:v>
                </c:pt>
                <c:pt idx="3">
                  <c:v>1990-1994</c:v>
                </c:pt>
                <c:pt idx="4">
                  <c:v>1991-1995</c:v>
                </c:pt>
                <c:pt idx="5">
                  <c:v>1992-1996</c:v>
                </c:pt>
                <c:pt idx="6">
                  <c:v>1993-1997</c:v>
                </c:pt>
                <c:pt idx="7">
                  <c:v>1994-1998</c:v>
                </c:pt>
                <c:pt idx="8">
                  <c:v>1995-1999</c:v>
                </c:pt>
                <c:pt idx="9">
                  <c:v>1996-2000</c:v>
                </c:pt>
                <c:pt idx="10">
                  <c:v>1997-2001</c:v>
                </c:pt>
                <c:pt idx="11">
                  <c:v>1998-2002</c:v>
                </c:pt>
                <c:pt idx="12">
                  <c:v>1999-2003</c:v>
                </c:pt>
                <c:pt idx="13">
                  <c:v>2000-2004</c:v>
                </c:pt>
                <c:pt idx="14">
                  <c:v>2001-2005</c:v>
                </c:pt>
                <c:pt idx="15">
                  <c:v>2002-2006</c:v>
                </c:pt>
                <c:pt idx="16">
                  <c:v>2003-2007</c:v>
                </c:pt>
                <c:pt idx="17">
                  <c:v>2004-2008</c:v>
                </c:pt>
                <c:pt idx="18">
                  <c:v>2005-2009</c:v>
                </c:pt>
                <c:pt idx="19">
                  <c:v>2006-2010</c:v>
                </c:pt>
                <c:pt idx="20">
                  <c:v>2007-2011</c:v>
                </c:pt>
                <c:pt idx="21">
                  <c:v>2008-2012</c:v>
                </c:pt>
                <c:pt idx="22">
                  <c:v>2009-2013</c:v>
                </c:pt>
                <c:pt idx="23">
                  <c:v>2010-2014</c:v>
                </c:pt>
              </c:strCache>
            </c:strRef>
          </c:cat>
          <c:val>
            <c:numRef>
              <c:f>切片分析!$G$2:$G$25</c:f>
              <c:numCache>
                <c:formatCode>General</c:formatCode>
                <c:ptCount val="24"/>
                <c:pt idx="0">
                  <c:v>1</c:v>
                </c:pt>
                <c:pt idx="2">
                  <c:v>1</c:v>
                </c:pt>
                <c:pt idx="3">
                  <c:v>1</c:v>
                </c:pt>
                <c:pt idx="4">
                  <c:v>1</c:v>
                </c:pt>
                <c:pt idx="5">
                  <c:v>1</c:v>
                </c:pt>
                <c:pt idx="6">
                  <c:v>1.1000000000000001</c:v>
                </c:pt>
                <c:pt idx="7">
                  <c:v>1.2</c:v>
                </c:pt>
                <c:pt idx="8">
                  <c:v>1.3</c:v>
                </c:pt>
                <c:pt idx="9">
                  <c:v>1.2</c:v>
                </c:pt>
                <c:pt idx="10">
                  <c:v>1.4</c:v>
                </c:pt>
                <c:pt idx="11">
                  <c:v>2</c:v>
                </c:pt>
                <c:pt idx="12">
                  <c:v>1.9</c:v>
                </c:pt>
                <c:pt idx="13">
                  <c:v>2.2000000000000002</c:v>
                </c:pt>
                <c:pt idx="14">
                  <c:v>3.2</c:v>
                </c:pt>
                <c:pt idx="15">
                  <c:v>3.2</c:v>
                </c:pt>
                <c:pt idx="16">
                  <c:v>3.1</c:v>
                </c:pt>
                <c:pt idx="17">
                  <c:v>3</c:v>
                </c:pt>
                <c:pt idx="18">
                  <c:v>3.3</c:v>
                </c:pt>
                <c:pt idx="19">
                  <c:v>3.7</c:v>
                </c:pt>
                <c:pt idx="20">
                  <c:v>3.8</c:v>
                </c:pt>
                <c:pt idx="21">
                  <c:v>3.7</c:v>
                </c:pt>
                <c:pt idx="22">
                  <c:v>4.4000000000000004</c:v>
                </c:pt>
                <c:pt idx="23">
                  <c:v>4.9000000000000004</c:v>
                </c:pt>
              </c:numCache>
            </c:numRef>
          </c:val>
          <c:smooth val="0"/>
        </c:ser>
        <c:dLbls>
          <c:showLegendKey val="0"/>
          <c:showVal val="0"/>
          <c:showCatName val="0"/>
          <c:showSerName val="0"/>
          <c:showPercent val="0"/>
          <c:showBubbleSize val="0"/>
        </c:dLbls>
        <c:marker val="1"/>
        <c:smooth val="0"/>
        <c:axId val="318654112"/>
        <c:axId val="318654504"/>
      </c:lineChart>
      <c:catAx>
        <c:axId val="318654112"/>
        <c:scaling>
          <c:orientation val="minMax"/>
        </c:scaling>
        <c:delete val="0"/>
        <c:axPos val="b"/>
        <c:numFmt formatCode="General" sourceLinked="0"/>
        <c:majorTickMark val="out"/>
        <c:minorTickMark val="none"/>
        <c:tickLblPos val="nextTo"/>
        <c:crossAx val="318654504"/>
        <c:crosses val="autoZero"/>
        <c:auto val="1"/>
        <c:lblAlgn val="ctr"/>
        <c:lblOffset val="100"/>
        <c:noMultiLvlLbl val="0"/>
      </c:catAx>
      <c:valAx>
        <c:axId val="318654504"/>
        <c:scaling>
          <c:orientation val="minMax"/>
        </c:scaling>
        <c:delete val="0"/>
        <c:axPos val="l"/>
        <c:majorGridlines/>
        <c:numFmt formatCode="General" sourceLinked="1"/>
        <c:majorTickMark val="out"/>
        <c:minorTickMark val="none"/>
        <c:tickLblPos val="nextTo"/>
        <c:crossAx val="318654112"/>
        <c:crosses val="autoZero"/>
        <c:crossBetween val="between"/>
      </c:valAx>
    </c:plotArea>
    <c:plotVisOnly val="1"/>
    <c:dispBlanksAs val="span"/>
    <c:showDLblsOverMax val="0"/>
  </c:chart>
  <c:txPr>
    <a:bodyPr/>
    <a:lstStyle/>
    <a:p>
      <a:pPr>
        <a:defRPr sz="800"/>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1299317585301831E-2"/>
          <c:y val="7.396378505891292E-2"/>
          <c:w val="0.76691036363050336"/>
          <c:h val="0.72178078353702724"/>
        </c:manualLayout>
      </c:layout>
      <c:lineChart>
        <c:grouping val="standard"/>
        <c:varyColors val="0"/>
        <c:ser>
          <c:idx val="0"/>
          <c:order val="0"/>
          <c:tx>
            <c:strRef>
              <c:f>切片分析!$Q$1</c:f>
              <c:strCache>
                <c:ptCount val="1"/>
                <c:pt idx="0">
                  <c:v>centralization-degree main component</c:v>
                </c:pt>
              </c:strCache>
            </c:strRef>
          </c:tx>
          <c:marker>
            <c:symbol val="circle"/>
            <c:size val="3"/>
          </c:marker>
          <c:cat>
            <c:strRef>
              <c:f>切片分析!$A$4:$A$25</c:f>
              <c:strCache>
                <c:ptCount val="22"/>
                <c:pt idx="0">
                  <c:v>1989-1993</c:v>
                </c:pt>
                <c:pt idx="1">
                  <c:v>1990-1994</c:v>
                </c:pt>
                <c:pt idx="2">
                  <c:v>1991-1995</c:v>
                </c:pt>
                <c:pt idx="3">
                  <c:v>1992-1996</c:v>
                </c:pt>
                <c:pt idx="4">
                  <c:v>1993-1997</c:v>
                </c:pt>
                <c:pt idx="5">
                  <c:v>1994-1998</c:v>
                </c:pt>
                <c:pt idx="6">
                  <c:v>1995-1999</c:v>
                </c:pt>
                <c:pt idx="7">
                  <c:v>1996-2000</c:v>
                </c:pt>
                <c:pt idx="8">
                  <c:v>1997-2001</c:v>
                </c:pt>
                <c:pt idx="9">
                  <c:v>1998-2002</c:v>
                </c:pt>
                <c:pt idx="10">
                  <c:v>1999-2003</c:v>
                </c:pt>
                <c:pt idx="11">
                  <c:v>2000-2004</c:v>
                </c:pt>
                <c:pt idx="12">
                  <c:v>2001-2005</c:v>
                </c:pt>
                <c:pt idx="13">
                  <c:v>2002-2006</c:v>
                </c:pt>
                <c:pt idx="14">
                  <c:v>2003-2007</c:v>
                </c:pt>
                <c:pt idx="15">
                  <c:v>2004-2008</c:v>
                </c:pt>
                <c:pt idx="16">
                  <c:v>2005-2009</c:v>
                </c:pt>
                <c:pt idx="17">
                  <c:v>2006-2010</c:v>
                </c:pt>
                <c:pt idx="18">
                  <c:v>2007-2011</c:v>
                </c:pt>
                <c:pt idx="19">
                  <c:v>2008-2012</c:v>
                </c:pt>
                <c:pt idx="20">
                  <c:v>2009-2013</c:v>
                </c:pt>
                <c:pt idx="21">
                  <c:v>2010-2014</c:v>
                </c:pt>
              </c:strCache>
            </c:strRef>
          </c:cat>
          <c:val>
            <c:numRef>
              <c:f>切片分析!$Q$4:$Q$25</c:f>
              <c:numCache>
                <c:formatCode>0.00%</c:formatCode>
                <c:ptCount val="22"/>
                <c:pt idx="0">
                  <c:v>0</c:v>
                </c:pt>
                <c:pt idx="1">
                  <c:v>0</c:v>
                </c:pt>
                <c:pt idx="2">
                  <c:v>0</c:v>
                </c:pt>
                <c:pt idx="3">
                  <c:v>0</c:v>
                </c:pt>
                <c:pt idx="4">
                  <c:v>0.625</c:v>
                </c:pt>
                <c:pt idx="5">
                  <c:v>0.625</c:v>
                </c:pt>
                <c:pt idx="6">
                  <c:v>0.60419999999999996</c:v>
                </c:pt>
                <c:pt idx="7">
                  <c:v>0.66669999999999996</c:v>
                </c:pt>
                <c:pt idx="8">
                  <c:v>0.33329999999999999</c:v>
                </c:pt>
                <c:pt idx="9">
                  <c:v>0.24390000000000001</c:v>
                </c:pt>
                <c:pt idx="10">
                  <c:v>0.24390000000000001</c:v>
                </c:pt>
                <c:pt idx="11">
                  <c:v>4.8500000000000001E-2</c:v>
                </c:pt>
                <c:pt idx="12">
                  <c:v>2.2499999999999999E-2</c:v>
                </c:pt>
                <c:pt idx="13">
                  <c:v>1.7600000000000001E-2</c:v>
                </c:pt>
                <c:pt idx="14">
                  <c:v>2.81E-2</c:v>
                </c:pt>
                <c:pt idx="15">
                  <c:v>2.7699999999999999E-2</c:v>
                </c:pt>
                <c:pt idx="16">
                  <c:v>2.0500000000000001E-2</c:v>
                </c:pt>
                <c:pt idx="17">
                  <c:v>1.9099999999999999E-2</c:v>
                </c:pt>
                <c:pt idx="18">
                  <c:v>3.2000000000000001E-2</c:v>
                </c:pt>
                <c:pt idx="19">
                  <c:v>1.78E-2</c:v>
                </c:pt>
                <c:pt idx="20">
                  <c:v>1.44E-2</c:v>
                </c:pt>
                <c:pt idx="21">
                  <c:v>1.6199999999999999E-2</c:v>
                </c:pt>
              </c:numCache>
            </c:numRef>
          </c:val>
          <c:smooth val="0"/>
        </c:ser>
        <c:ser>
          <c:idx val="1"/>
          <c:order val="1"/>
          <c:tx>
            <c:strRef>
              <c:f>切片分析!$P$1</c:f>
              <c:strCache>
                <c:ptCount val="1"/>
                <c:pt idx="0">
                  <c:v>centralization-be main</c:v>
                </c:pt>
              </c:strCache>
            </c:strRef>
          </c:tx>
          <c:marker>
            <c:symbol val="square"/>
            <c:size val="3"/>
          </c:marker>
          <c:cat>
            <c:strRef>
              <c:f>切片分析!$A$4:$A$25</c:f>
              <c:strCache>
                <c:ptCount val="22"/>
                <c:pt idx="0">
                  <c:v>1989-1993</c:v>
                </c:pt>
                <c:pt idx="1">
                  <c:v>1990-1994</c:v>
                </c:pt>
                <c:pt idx="2">
                  <c:v>1991-1995</c:v>
                </c:pt>
                <c:pt idx="3">
                  <c:v>1992-1996</c:v>
                </c:pt>
                <c:pt idx="4">
                  <c:v>1993-1997</c:v>
                </c:pt>
                <c:pt idx="5">
                  <c:v>1994-1998</c:v>
                </c:pt>
                <c:pt idx="6">
                  <c:v>1995-1999</c:v>
                </c:pt>
                <c:pt idx="7">
                  <c:v>1996-2000</c:v>
                </c:pt>
                <c:pt idx="8">
                  <c:v>1997-2001</c:v>
                </c:pt>
                <c:pt idx="9">
                  <c:v>1998-2002</c:v>
                </c:pt>
                <c:pt idx="10">
                  <c:v>1999-2003</c:v>
                </c:pt>
                <c:pt idx="11">
                  <c:v>2000-2004</c:v>
                </c:pt>
                <c:pt idx="12">
                  <c:v>2001-2005</c:v>
                </c:pt>
                <c:pt idx="13">
                  <c:v>2002-2006</c:v>
                </c:pt>
                <c:pt idx="14">
                  <c:v>2003-2007</c:v>
                </c:pt>
                <c:pt idx="15">
                  <c:v>2004-2008</c:v>
                </c:pt>
                <c:pt idx="16">
                  <c:v>2005-2009</c:v>
                </c:pt>
                <c:pt idx="17">
                  <c:v>2006-2010</c:v>
                </c:pt>
                <c:pt idx="18">
                  <c:v>2007-2011</c:v>
                </c:pt>
                <c:pt idx="19">
                  <c:v>2008-2012</c:v>
                </c:pt>
                <c:pt idx="20">
                  <c:v>2009-2013</c:v>
                </c:pt>
                <c:pt idx="21">
                  <c:v>2010-2014</c:v>
                </c:pt>
              </c:strCache>
            </c:strRef>
          </c:cat>
          <c:val>
            <c:numRef>
              <c:f>切片分析!$P$4:$P$25</c:f>
              <c:numCache>
                <c:formatCode>0.00%</c:formatCode>
                <c:ptCount val="22"/>
                <c:pt idx="0">
                  <c:v>0</c:v>
                </c:pt>
                <c:pt idx="1">
                  <c:v>0</c:v>
                </c:pt>
                <c:pt idx="2">
                  <c:v>0</c:v>
                </c:pt>
                <c:pt idx="3">
                  <c:v>0</c:v>
                </c:pt>
                <c:pt idx="4">
                  <c:v>1</c:v>
                </c:pt>
                <c:pt idx="5">
                  <c:v>1</c:v>
                </c:pt>
                <c:pt idx="6">
                  <c:v>0.66669999999999996</c:v>
                </c:pt>
                <c:pt idx="7">
                  <c:v>0.66669999999999996</c:v>
                </c:pt>
                <c:pt idx="8">
                  <c:v>0.44440000000000002</c:v>
                </c:pt>
                <c:pt idx="9">
                  <c:v>0.63580000000000003</c:v>
                </c:pt>
                <c:pt idx="10">
                  <c:v>0.63580000000000003</c:v>
                </c:pt>
                <c:pt idx="11">
                  <c:v>0.4733</c:v>
                </c:pt>
                <c:pt idx="12">
                  <c:v>0.24429999999999999</c:v>
                </c:pt>
                <c:pt idx="13">
                  <c:v>0.30249999999999999</c:v>
                </c:pt>
                <c:pt idx="14">
                  <c:v>0.2429</c:v>
                </c:pt>
                <c:pt idx="15">
                  <c:v>0.18759999999999999</c:v>
                </c:pt>
                <c:pt idx="16">
                  <c:v>0.15840000000000001</c:v>
                </c:pt>
                <c:pt idx="17">
                  <c:v>0.16059999999999999</c:v>
                </c:pt>
                <c:pt idx="18">
                  <c:v>0.17050000000000001</c:v>
                </c:pt>
                <c:pt idx="19">
                  <c:v>0.1285</c:v>
                </c:pt>
                <c:pt idx="20">
                  <c:v>0.26519999999999999</c:v>
                </c:pt>
                <c:pt idx="21">
                  <c:v>0.37019999999999997</c:v>
                </c:pt>
              </c:numCache>
            </c:numRef>
          </c:val>
          <c:smooth val="0"/>
        </c:ser>
        <c:dLbls>
          <c:showLegendKey val="0"/>
          <c:showVal val="0"/>
          <c:showCatName val="0"/>
          <c:showSerName val="0"/>
          <c:showPercent val="0"/>
          <c:showBubbleSize val="0"/>
        </c:dLbls>
        <c:marker val="1"/>
        <c:smooth val="0"/>
        <c:axId val="318654896"/>
        <c:axId val="318655288"/>
      </c:lineChart>
      <c:catAx>
        <c:axId val="318654896"/>
        <c:scaling>
          <c:orientation val="minMax"/>
        </c:scaling>
        <c:delete val="0"/>
        <c:axPos val="b"/>
        <c:numFmt formatCode="General" sourceLinked="0"/>
        <c:majorTickMark val="out"/>
        <c:minorTickMark val="none"/>
        <c:tickLblPos val="nextTo"/>
        <c:crossAx val="318655288"/>
        <c:crosses val="autoZero"/>
        <c:auto val="1"/>
        <c:lblAlgn val="ctr"/>
        <c:lblOffset val="100"/>
        <c:noMultiLvlLbl val="0"/>
      </c:catAx>
      <c:valAx>
        <c:axId val="318655288"/>
        <c:scaling>
          <c:orientation val="minMax"/>
          <c:max val="1"/>
        </c:scaling>
        <c:delete val="0"/>
        <c:axPos val="l"/>
        <c:majorGridlines/>
        <c:numFmt formatCode="0.00%" sourceLinked="1"/>
        <c:majorTickMark val="out"/>
        <c:minorTickMark val="none"/>
        <c:tickLblPos val="nextTo"/>
        <c:crossAx val="318654896"/>
        <c:crosses val="autoZero"/>
        <c:crossBetween val="between"/>
      </c:valAx>
    </c:plotArea>
    <c:legend>
      <c:legendPos val="r"/>
      <c:layout>
        <c:manualLayout>
          <c:xMode val="edge"/>
          <c:yMode val="edge"/>
          <c:x val="0.82092290463692041"/>
          <c:y val="0.26973211229031152"/>
          <c:w val="0.16663265091863516"/>
          <c:h val="0.17059026589067672"/>
        </c:manualLayout>
      </c:layout>
      <c:overlay val="0"/>
    </c:legend>
    <c:plotVisOnly val="1"/>
    <c:dispBlanksAs val="span"/>
    <c:showDLblsOverMax val="0"/>
  </c:chart>
  <c:txPr>
    <a:bodyPr/>
    <a:lstStyle/>
    <a:p>
      <a:pPr>
        <a:defRPr sz="800"/>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9</Pages>
  <Words>1446</Words>
  <Characters>8247</Characters>
  <Application>Microsoft Office Word</Application>
  <DocSecurity>0</DocSecurity>
  <Lines>68</Lines>
  <Paragraphs>19</Paragraphs>
  <ScaleCrop>false</ScaleCrop>
  <Company>LIS, NTU</Company>
  <LinksUpToDate>false</LinksUpToDate>
  <CharactersWithSpaces>9674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2015-04-13T20:51:00Z</cp:lastPrinted>
  <dcterms:created xsi:type="dcterms:W3CDTF">2015-04-20T02:17:00Z</dcterms:created>
  <dcterms:modified xsi:type="dcterms:W3CDTF">2015-05-03T19:06:00Z</dcterms:modified>
</cp:coreProperties>
</file>