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71A" w:rsidRPr="002B533E" w:rsidRDefault="008D171A" w:rsidP="00661E25">
      <w:pPr>
        <w:shd w:val="clear" w:color="auto" w:fill="FFFFFF"/>
        <w:spacing w:after="0" w:line="320" w:lineRule="exact"/>
        <w:ind w:left="24" w:right="24"/>
        <w:rPr>
          <w:rFonts w:ascii="Times New Roman" w:hAnsi="Times New Roman"/>
          <w:b/>
          <w:bCs/>
          <w:sz w:val="28"/>
          <w:szCs w:val="28"/>
          <w:lang w:eastAsia="en-AU"/>
        </w:rPr>
      </w:pPr>
      <w:r w:rsidRPr="002B533E">
        <w:rPr>
          <w:rFonts w:ascii="Times New Roman" w:hAnsi="Times New Roman"/>
          <w:b/>
          <w:bCs/>
          <w:sz w:val="28"/>
          <w:szCs w:val="28"/>
          <w:lang w:eastAsia="en-AU"/>
        </w:rPr>
        <w:t xml:space="preserve">THOMSON </w:t>
      </w:r>
      <w:r w:rsidRPr="00661E25">
        <w:rPr>
          <w:rFonts w:ascii="Times New Roman" w:hAnsi="Times New Roman"/>
          <w:b/>
          <w:bCs/>
          <w:sz w:val="28"/>
          <w:szCs w:val="28"/>
          <w:lang w:eastAsia="en-AU"/>
        </w:rPr>
        <w:t>—</w:t>
      </w:r>
      <w:r w:rsidRPr="002B533E">
        <w:rPr>
          <w:rFonts w:ascii="Times New Roman" w:hAnsi="Times New Roman"/>
          <w:b/>
          <w:bCs/>
          <w:sz w:val="28"/>
          <w:szCs w:val="28"/>
          <w:lang w:eastAsia="en-AU"/>
        </w:rPr>
        <w:t xml:space="preserve"> Making</w:t>
      </w:r>
    </w:p>
    <w:p w:rsidR="008D171A" w:rsidRDefault="008D171A" w:rsidP="00661E25">
      <w:pPr>
        <w:shd w:val="clear" w:color="auto" w:fill="FFFFFF"/>
        <w:spacing w:after="0" w:line="320" w:lineRule="exact"/>
        <w:ind w:left="24" w:right="24"/>
        <w:rPr>
          <w:rFonts w:ascii="Times New Roman" w:hAnsi="Times New Roman"/>
          <w:bCs/>
          <w:sz w:val="24"/>
          <w:szCs w:val="24"/>
          <w:lang w:eastAsia="en-AU"/>
        </w:rPr>
      </w:pPr>
      <w:r>
        <w:rPr>
          <w:rFonts w:ascii="Times New Roman" w:hAnsi="Times New Roman"/>
          <w:bCs/>
          <w:sz w:val="24"/>
          <w:szCs w:val="24"/>
          <w:lang w:eastAsia="en-AU"/>
        </w:rPr>
        <w:t>&lt;0 figures&gt;</w:t>
      </w:r>
    </w:p>
    <w:p w:rsidR="008D171A" w:rsidRDefault="008D171A" w:rsidP="00661E25">
      <w:pPr>
        <w:shd w:val="clear" w:color="auto" w:fill="FFFFFF"/>
        <w:spacing w:after="0" w:line="320" w:lineRule="exact"/>
        <w:ind w:left="24" w:right="24"/>
        <w:rPr>
          <w:rFonts w:ascii="Times New Roman" w:hAnsi="Times New Roman"/>
          <w:b/>
          <w:bCs/>
          <w:sz w:val="24"/>
          <w:szCs w:val="24"/>
          <w:lang w:eastAsia="en-AU"/>
        </w:rPr>
      </w:pPr>
    </w:p>
    <w:p w:rsidR="008D171A" w:rsidRPr="00661E25" w:rsidRDefault="008D171A" w:rsidP="00661E25">
      <w:pPr>
        <w:shd w:val="clear" w:color="auto" w:fill="FFFFFF"/>
        <w:spacing w:after="0" w:line="320" w:lineRule="exact"/>
        <w:ind w:left="24" w:right="24"/>
        <w:rPr>
          <w:rFonts w:ascii="Times New Roman" w:hAnsi="Times New Roman"/>
          <w:b/>
          <w:bCs/>
          <w:sz w:val="24"/>
          <w:szCs w:val="24"/>
          <w:lang w:eastAsia="en-AU"/>
        </w:rPr>
      </w:pPr>
    </w:p>
    <w:p w:rsidR="008D171A" w:rsidRPr="00661E25" w:rsidRDefault="008D171A" w:rsidP="00661E25">
      <w:pPr>
        <w:shd w:val="clear" w:color="auto" w:fill="FFFFFF"/>
        <w:spacing w:after="0" w:line="320" w:lineRule="exact"/>
        <w:ind w:left="24" w:right="24"/>
        <w:rPr>
          <w:rFonts w:ascii="Times New Roman" w:hAnsi="Times New Roman"/>
          <w:b/>
          <w:bCs/>
          <w:sz w:val="24"/>
          <w:szCs w:val="24"/>
          <w:lang w:eastAsia="en-AU"/>
        </w:rPr>
      </w:pPr>
      <w:r w:rsidRPr="00661E25">
        <w:rPr>
          <w:rFonts w:ascii="Times New Roman" w:hAnsi="Times New Roman"/>
          <w:b/>
          <w:bCs/>
          <w:sz w:val="24"/>
          <w:szCs w:val="24"/>
          <w:lang w:eastAsia="en-AU"/>
        </w:rPr>
        <w:t>Making Digital Aural History</w:t>
      </w:r>
    </w:p>
    <w:p w:rsidR="008D171A" w:rsidRDefault="008D171A" w:rsidP="00661E25">
      <w:pPr>
        <w:shd w:val="clear" w:color="auto" w:fill="FFFFFF"/>
        <w:spacing w:after="0" w:line="320" w:lineRule="exact"/>
        <w:ind w:left="24" w:right="24"/>
        <w:rPr>
          <w:rFonts w:ascii="Times New Roman" w:hAnsi="Times New Roman"/>
          <w:sz w:val="24"/>
          <w:szCs w:val="24"/>
          <w:lang w:eastAsia="en-AU"/>
        </w:rPr>
      </w:pPr>
      <w:r>
        <w:rPr>
          <w:rFonts w:ascii="Times New Roman" w:hAnsi="Times New Roman"/>
          <w:sz w:val="24"/>
          <w:szCs w:val="24"/>
          <w:lang w:eastAsia="en-AU"/>
        </w:rPr>
        <w:t>Thomson, A. and Bradley, K.</w:t>
      </w:r>
    </w:p>
    <w:p w:rsidR="008D171A" w:rsidRPr="00661E25" w:rsidRDefault="008D171A" w:rsidP="00661E25">
      <w:pPr>
        <w:shd w:val="clear" w:color="auto" w:fill="FFFFFF"/>
        <w:spacing w:after="0" w:line="320" w:lineRule="exact"/>
        <w:ind w:left="24" w:right="24"/>
        <w:rPr>
          <w:rFonts w:ascii="Times New Roman" w:hAnsi="Times New Roman"/>
          <w:sz w:val="24"/>
          <w:szCs w:val="24"/>
          <w:lang w:eastAsia="en-AU"/>
        </w:rPr>
      </w:pPr>
    </w:p>
    <w:p w:rsidR="008D171A" w:rsidRPr="00661E25" w:rsidRDefault="008D171A" w:rsidP="00661E25">
      <w:pPr>
        <w:spacing w:after="0" w:line="320" w:lineRule="exact"/>
        <w:rPr>
          <w:rFonts w:ascii="Times New Roman" w:hAnsi="Times New Roman"/>
          <w:bCs/>
          <w:sz w:val="24"/>
          <w:szCs w:val="24"/>
        </w:rPr>
      </w:pPr>
      <w:r w:rsidRPr="00661E25">
        <w:rPr>
          <w:rFonts w:ascii="Times New Roman" w:hAnsi="Times New Roman"/>
          <w:bCs/>
          <w:sz w:val="24"/>
          <w:szCs w:val="24"/>
        </w:rPr>
        <w:t>Digital technologies are facilitating a renaissance of large-scale oral history projects (</w:t>
      </w:r>
      <w:r w:rsidRPr="00661E25">
        <w:rPr>
          <w:rFonts w:ascii="Times New Roman" w:hAnsi="Times New Roman"/>
          <w:sz w:val="24"/>
          <w:szCs w:val="24"/>
        </w:rPr>
        <w:t>Gallwey, 2013; Thomson, 2007)</w:t>
      </w:r>
      <w:r w:rsidRPr="00661E25">
        <w:rPr>
          <w:rFonts w:ascii="Times New Roman" w:hAnsi="Times New Roman"/>
          <w:bCs/>
          <w:sz w:val="24"/>
          <w:szCs w:val="24"/>
        </w:rPr>
        <w:t>.</w:t>
      </w:r>
      <w:r w:rsidRPr="00661E25">
        <w:rPr>
          <w:rStyle w:val="FootnoteReference"/>
          <w:rFonts w:ascii="Times New Roman" w:hAnsi="Times New Roman"/>
          <w:bCs/>
          <w:sz w:val="24"/>
          <w:szCs w:val="24"/>
        </w:rPr>
        <w:t xml:space="preserve"> </w:t>
      </w:r>
      <w:r w:rsidRPr="00661E25">
        <w:rPr>
          <w:rFonts w:ascii="Times New Roman" w:hAnsi="Times New Roman"/>
          <w:bCs/>
          <w:sz w:val="24"/>
          <w:szCs w:val="24"/>
        </w:rPr>
        <w:t>Big oral history projects enjoyed a heyday in the 1970s and 1980s. They were often led by sociologically</w:t>
      </w:r>
      <w:r>
        <w:rPr>
          <w:rFonts w:ascii="Times New Roman" w:hAnsi="Times New Roman"/>
          <w:bCs/>
          <w:sz w:val="24"/>
          <w:szCs w:val="24"/>
        </w:rPr>
        <w:t xml:space="preserve"> </w:t>
      </w:r>
      <w:r w:rsidRPr="00661E25">
        <w:rPr>
          <w:rFonts w:ascii="Times New Roman" w:hAnsi="Times New Roman"/>
          <w:bCs/>
          <w:sz w:val="24"/>
          <w:szCs w:val="24"/>
        </w:rPr>
        <w:t>trained historians who sought to create interview samples of sufficient size and diversity to enable ‘the larger insights or generalizations’ that we might gain by finding patterns across many interviews. But large oral history projects ‘receded from view’ by the 1990s as funding dried up for the expensive task of producing and transcribing multiple interviews (</w:t>
      </w:r>
      <w:r w:rsidRPr="00661E25">
        <w:rPr>
          <w:rFonts w:ascii="Times New Roman" w:hAnsi="Times New Roman"/>
          <w:sz w:val="24"/>
          <w:szCs w:val="24"/>
        </w:rPr>
        <w:t>Armitage and Gluck, 2006)</w:t>
      </w:r>
      <w:r w:rsidRPr="00661E25">
        <w:rPr>
          <w:rFonts w:ascii="Times New Roman" w:hAnsi="Times New Roman"/>
          <w:bCs/>
          <w:sz w:val="24"/>
          <w:szCs w:val="24"/>
        </w:rPr>
        <w:t>.</w:t>
      </w:r>
      <w:r w:rsidRPr="00661E25">
        <w:rPr>
          <w:rStyle w:val="FootnoteReference"/>
          <w:rFonts w:ascii="Times New Roman" w:hAnsi="Times New Roman"/>
          <w:bCs/>
          <w:sz w:val="24"/>
          <w:szCs w:val="24"/>
        </w:rPr>
        <w:t xml:space="preserve"> </w:t>
      </w:r>
      <w:r w:rsidRPr="00661E25">
        <w:rPr>
          <w:rFonts w:ascii="Times New Roman" w:hAnsi="Times New Roman"/>
          <w:bCs/>
          <w:sz w:val="24"/>
          <w:szCs w:val="24"/>
        </w:rPr>
        <w:t>Just as important, as Armitage and Gluck acknowledge, was the redirection of researcher energy to the cultural or narrative ‘turn’ in oral history (and in history more generally)</w:t>
      </w:r>
      <w:r>
        <w:rPr>
          <w:rFonts w:ascii="Times New Roman" w:hAnsi="Times New Roman"/>
          <w:bCs/>
          <w:sz w:val="24"/>
          <w:szCs w:val="24"/>
        </w:rPr>
        <w:t>,</w:t>
      </w:r>
      <w:r w:rsidRPr="00661E25">
        <w:rPr>
          <w:rFonts w:ascii="Times New Roman" w:hAnsi="Times New Roman"/>
          <w:bCs/>
          <w:sz w:val="24"/>
          <w:szCs w:val="24"/>
        </w:rPr>
        <w:t xml:space="preserve"> in which oral historians focused on the </w:t>
      </w:r>
      <w:r w:rsidRPr="00661E25">
        <w:rPr>
          <w:rFonts w:ascii="Times New Roman" w:hAnsi="Times New Roman"/>
          <w:bCs/>
          <w:i/>
          <w:sz w:val="24"/>
          <w:szCs w:val="24"/>
        </w:rPr>
        <w:t>meanings</w:t>
      </w:r>
      <w:r w:rsidRPr="00661E25">
        <w:rPr>
          <w:rFonts w:ascii="Times New Roman" w:hAnsi="Times New Roman"/>
          <w:bCs/>
          <w:sz w:val="24"/>
          <w:szCs w:val="24"/>
        </w:rPr>
        <w:t xml:space="preserve"> of oral narratives and mostly found it easier, and cheaper, to find and interpret those meanings if they worked with a small number of interviews. </w:t>
      </w:r>
    </w:p>
    <w:p w:rsidR="008D171A" w:rsidRPr="00661E25" w:rsidRDefault="008D171A" w:rsidP="00661E25">
      <w:pPr>
        <w:spacing w:after="0" w:line="320" w:lineRule="exact"/>
        <w:ind w:firstLine="720"/>
        <w:rPr>
          <w:rFonts w:ascii="Times New Roman" w:hAnsi="Times New Roman"/>
          <w:sz w:val="24"/>
          <w:szCs w:val="24"/>
        </w:rPr>
      </w:pPr>
      <w:r w:rsidRPr="00661E25">
        <w:rPr>
          <w:rFonts w:ascii="Times New Roman" w:hAnsi="Times New Roman"/>
          <w:bCs/>
          <w:sz w:val="24"/>
          <w:szCs w:val="24"/>
        </w:rPr>
        <w:t>Twenty-first</w:t>
      </w:r>
      <w:r>
        <w:rPr>
          <w:rFonts w:ascii="Times New Roman" w:hAnsi="Times New Roman"/>
          <w:bCs/>
          <w:sz w:val="24"/>
          <w:szCs w:val="24"/>
        </w:rPr>
        <w:t>-</w:t>
      </w:r>
      <w:r w:rsidRPr="00661E25">
        <w:rPr>
          <w:rFonts w:ascii="Times New Roman" w:hAnsi="Times New Roman"/>
          <w:bCs/>
          <w:sz w:val="24"/>
          <w:szCs w:val="24"/>
        </w:rPr>
        <w:t>century technologies have made large oral history projects feasible and attractive again, by offering new tools for creating, managing</w:t>
      </w:r>
      <w:r>
        <w:rPr>
          <w:rFonts w:ascii="Times New Roman" w:hAnsi="Times New Roman"/>
          <w:bCs/>
          <w:sz w:val="24"/>
          <w:szCs w:val="24"/>
        </w:rPr>
        <w:t>,</w:t>
      </w:r>
      <w:r w:rsidRPr="00661E25">
        <w:rPr>
          <w:rFonts w:ascii="Times New Roman" w:hAnsi="Times New Roman"/>
          <w:bCs/>
          <w:sz w:val="24"/>
          <w:szCs w:val="24"/>
        </w:rPr>
        <w:t xml:space="preserve"> and accessing large collections of interviews.</w:t>
      </w:r>
      <w:r w:rsidRPr="00661E25">
        <w:rPr>
          <w:rFonts w:ascii="Times New Roman" w:hAnsi="Times New Roman"/>
          <w:sz w:val="24"/>
          <w:szCs w:val="24"/>
          <w:lang w:eastAsia="en-AU"/>
        </w:rPr>
        <w:t xml:space="preserve"> </w:t>
      </w:r>
      <w:r w:rsidRPr="00661E25">
        <w:rPr>
          <w:rFonts w:ascii="Times New Roman" w:hAnsi="Times New Roman"/>
          <w:sz w:val="24"/>
          <w:szCs w:val="24"/>
        </w:rPr>
        <w:t>Digital technologies are transforming the creation, preservation, presentation</w:t>
      </w:r>
      <w:r>
        <w:rPr>
          <w:rFonts w:ascii="Times New Roman" w:hAnsi="Times New Roman"/>
          <w:sz w:val="24"/>
          <w:szCs w:val="24"/>
        </w:rPr>
        <w:t>,</w:t>
      </w:r>
      <w:r w:rsidRPr="00661E25">
        <w:rPr>
          <w:rFonts w:ascii="Times New Roman" w:hAnsi="Times New Roman"/>
          <w:sz w:val="24"/>
          <w:szCs w:val="24"/>
        </w:rPr>
        <w:t xml:space="preserve"> and use of oral history, whilst generating methodological challenges and stretching old ethical dilemmas in new directions (Boyd, 2011</w:t>
      </w:r>
      <w:r>
        <w:rPr>
          <w:rFonts w:ascii="Times New Roman" w:hAnsi="Times New Roman"/>
          <w:sz w:val="24"/>
          <w:szCs w:val="24"/>
        </w:rPr>
        <w:t>;</w:t>
      </w:r>
      <w:r w:rsidRPr="00661E25">
        <w:rPr>
          <w:rFonts w:ascii="Times New Roman" w:hAnsi="Times New Roman"/>
          <w:sz w:val="24"/>
          <w:szCs w:val="24"/>
        </w:rPr>
        <w:t xml:space="preserve"> 2013; Frisch and Lambert, 2011; Lambert and Frisch, 2013; Larson, 2013; High, 2010; </w:t>
      </w:r>
      <w:r w:rsidRPr="00661E25">
        <w:rPr>
          <w:rFonts w:ascii="Times New Roman" w:hAnsi="Times New Roman"/>
          <w:bCs/>
          <w:sz w:val="24"/>
          <w:szCs w:val="24"/>
        </w:rPr>
        <w:t xml:space="preserve">Zembrzycki, </w:t>
      </w:r>
      <w:r w:rsidRPr="00661E25">
        <w:rPr>
          <w:rFonts w:ascii="Times New Roman" w:hAnsi="Times New Roman"/>
          <w:sz w:val="24"/>
          <w:szCs w:val="24"/>
        </w:rPr>
        <w:t xml:space="preserve">2013. See also the resources and essays on the Oral History in the Digital Age website, </w:t>
      </w:r>
      <w:r w:rsidRPr="002B533E">
        <w:rPr>
          <w:rFonts w:ascii="Times New Roman" w:hAnsi="Times New Roman"/>
          <w:sz w:val="24"/>
          <w:szCs w:val="24"/>
        </w:rPr>
        <w:t>http://ohda.matrix.msu.edu/</w:t>
      </w:r>
      <w:r w:rsidRPr="00661E25">
        <w:rPr>
          <w:rFonts w:ascii="Times New Roman" w:hAnsi="Times New Roman"/>
          <w:sz w:val="24"/>
          <w:szCs w:val="24"/>
        </w:rPr>
        <w:t xml:space="preserve">). </w:t>
      </w:r>
    </w:p>
    <w:p w:rsidR="008D171A" w:rsidRPr="00661E25" w:rsidRDefault="008D171A" w:rsidP="00661E25">
      <w:pPr>
        <w:spacing w:after="0" w:line="320" w:lineRule="exact"/>
        <w:ind w:firstLine="720"/>
        <w:rPr>
          <w:rFonts w:ascii="Times New Roman" w:hAnsi="Times New Roman"/>
          <w:sz w:val="24"/>
          <w:szCs w:val="24"/>
        </w:rPr>
      </w:pPr>
      <w:r w:rsidRPr="00661E25">
        <w:rPr>
          <w:rFonts w:ascii="Times New Roman" w:hAnsi="Times New Roman"/>
          <w:sz w:val="24"/>
          <w:szCs w:val="24"/>
          <w:lang w:eastAsia="en-AU"/>
        </w:rPr>
        <w:t>The Australian Generations Oral History Project, an ARC-funded collaboration between university historians, the National Library of Australia</w:t>
      </w:r>
      <w:r>
        <w:rPr>
          <w:rFonts w:ascii="Times New Roman" w:hAnsi="Times New Roman"/>
          <w:sz w:val="24"/>
          <w:szCs w:val="24"/>
          <w:lang w:eastAsia="en-AU"/>
        </w:rPr>
        <w:t>,</w:t>
      </w:r>
      <w:r w:rsidRPr="00661E25">
        <w:rPr>
          <w:rFonts w:ascii="Times New Roman" w:hAnsi="Times New Roman"/>
          <w:sz w:val="24"/>
          <w:szCs w:val="24"/>
          <w:lang w:eastAsia="en-AU"/>
        </w:rPr>
        <w:t xml:space="preserve"> and ABC Radio National, has pioneered digital technologies for oral history (see </w:t>
      </w:r>
      <w:r w:rsidRPr="002B533E">
        <w:rPr>
          <w:rFonts w:ascii="Times New Roman" w:hAnsi="Times New Roman"/>
          <w:sz w:val="24"/>
          <w:szCs w:val="24"/>
        </w:rPr>
        <w:t>http://artsonline.monash.edu.au/australian-generations/</w:t>
      </w:r>
      <w:r w:rsidRPr="00661E25">
        <w:rPr>
          <w:rFonts w:ascii="Times New Roman" w:hAnsi="Times New Roman"/>
          <w:sz w:val="24"/>
          <w:szCs w:val="24"/>
        </w:rPr>
        <w:t>)</w:t>
      </w:r>
      <w:r w:rsidRPr="00661E25">
        <w:rPr>
          <w:rFonts w:ascii="Times New Roman" w:hAnsi="Times New Roman"/>
          <w:sz w:val="24"/>
          <w:szCs w:val="24"/>
          <w:lang w:eastAsia="en-AU"/>
        </w:rPr>
        <w:t>.</w:t>
      </w:r>
      <w:r w:rsidRPr="00661E25">
        <w:rPr>
          <w:rFonts w:ascii="Times New Roman" w:hAnsi="Times New Roman"/>
          <w:sz w:val="24"/>
          <w:szCs w:val="24"/>
        </w:rPr>
        <w:t xml:space="preserve"> A team of </w:t>
      </w:r>
      <w:r>
        <w:rPr>
          <w:rFonts w:ascii="Times New Roman" w:hAnsi="Times New Roman"/>
          <w:sz w:val="24"/>
          <w:szCs w:val="24"/>
        </w:rPr>
        <w:t>nine</w:t>
      </w:r>
      <w:r w:rsidRPr="00661E25">
        <w:rPr>
          <w:rFonts w:ascii="Times New Roman" w:hAnsi="Times New Roman"/>
          <w:sz w:val="24"/>
          <w:szCs w:val="24"/>
        </w:rPr>
        <w:t xml:space="preserve"> researchers and 25 interviewers has recorded 300 life history interviews with 50 people born in each decade from the 1930s to the 1980s. We have produced 1</w:t>
      </w:r>
      <w:r>
        <w:rPr>
          <w:rFonts w:ascii="Times New Roman" w:hAnsi="Times New Roman"/>
          <w:sz w:val="24"/>
          <w:szCs w:val="24"/>
        </w:rPr>
        <w:t>,</w:t>
      </w:r>
      <w:r w:rsidRPr="00661E25">
        <w:rPr>
          <w:rFonts w:ascii="Times New Roman" w:hAnsi="Times New Roman"/>
          <w:sz w:val="24"/>
          <w:szCs w:val="24"/>
        </w:rPr>
        <w:t xml:space="preserve">221 hours of </w:t>
      </w:r>
      <w:r w:rsidRPr="00661E25">
        <w:rPr>
          <w:rFonts w:ascii="Times New Roman" w:hAnsi="Times New Roman"/>
          <w:sz w:val="24"/>
          <w:szCs w:val="24"/>
          <w:lang w:eastAsia="en-AU"/>
        </w:rPr>
        <w:t xml:space="preserve">digital audio recordings </w:t>
      </w:r>
      <w:r>
        <w:rPr>
          <w:rFonts w:ascii="Times New Roman" w:hAnsi="Times New Roman"/>
          <w:sz w:val="24"/>
          <w:szCs w:val="24"/>
          <w:lang w:eastAsia="en-AU"/>
        </w:rPr>
        <w:t xml:space="preserve">that </w:t>
      </w:r>
      <w:r w:rsidRPr="00661E25">
        <w:rPr>
          <w:rFonts w:ascii="Times New Roman" w:hAnsi="Times New Roman"/>
          <w:sz w:val="24"/>
          <w:szCs w:val="24"/>
          <w:lang w:eastAsia="en-AU"/>
        </w:rPr>
        <w:t>are searchable via TROVE, the NLA’s aggregation and discovery system, and which will be available for online research, subject to consent agreements, by anyone, anywhere, forever</w:t>
      </w:r>
      <w:r w:rsidRPr="00661E25">
        <w:rPr>
          <w:rFonts w:ascii="Times New Roman" w:hAnsi="Times New Roman"/>
          <w:sz w:val="24"/>
          <w:szCs w:val="24"/>
        </w:rPr>
        <w:t xml:space="preserve">. </w:t>
      </w:r>
    </w:p>
    <w:p w:rsidR="008D171A" w:rsidRPr="00661E25" w:rsidRDefault="008D171A" w:rsidP="00661E25">
      <w:pPr>
        <w:spacing w:after="0" w:line="320" w:lineRule="exact"/>
        <w:ind w:firstLine="720"/>
        <w:rPr>
          <w:rFonts w:ascii="Times New Roman" w:hAnsi="Times New Roman"/>
          <w:sz w:val="24"/>
          <w:szCs w:val="24"/>
          <w:lang w:eastAsia="en-AU"/>
        </w:rPr>
      </w:pPr>
      <w:r w:rsidRPr="00661E25">
        <w:rPr>
          <w:rFonts w:ascii="Times New Roman" w:hAnsi="Times New Roman"/>
          <w:sz w:val="24"/>
          <w:szCs w:val="24"/>
        </w:rPr>
        <w:t xml:space="preserve">Our presentation will focus on how we are preserving and documenting our interviews, and presenting and interpreting them through writing in online formats that integrate aural material. We consider the opportunities and challenges posed by </w:t>
      </w:r>
      <w:r w:rsidRPr="00661E25">
        <w:rPr>
          <w:rFonts w:ascii="Times New Roman" w:hAnsi="Times New Roman"/>
          <w:sz w:val="24"/>
          <w:szCs w:val="24"/>
          <w:lang w:eastAsia="en-AU"/>
        </w:rPr>
        <w:t>an internationally cutting</w:t>
      </w:r>
      <w:r>
        <w:rPr>
          <w:rFonts w:ascii="Times New Roman" w:hAnsi="Times New Roman"/>
          <w:sz w:val="24"/>
          <w:szCs w:val="24"/>
          <w:lang w:eastAsia="en-AU"/>
        </w:rPr>
        <w:t>-</w:t>
      </w:r>
      <w:r w:rsidRPr="00661E25">
        <w:rPr>
          <w:rFonts w:ascii="Times New Roman" w:hAnsi="Times New Roman"/>
          <w:sz w:val="24"/>
          <w:szCs w:val="24"/>
          <w:lang w:eastAsia="en-AU"/>
        </w:rPr>
        <w:t>edge timed summary system linked to hundreds of hours of digital audio recordings and searchable online via TROVE (</w:t>
      </w:r>
      <w:r w:rsidRPr="00661E25">
        <w:rPr>
          <w:rFonts w:ascii="Times New Roman" w:hAnsi="Times New Roman"/>
          <w:sz w:val="24"/>
          <w:szCs w:val="24"/>
        </w:rPr>
        <w:t>Bradley, 2014)</w:t>
      </w:r>
      <w:r w:rsidRPr="00661E25">
        <w:rPr>
          <w:rFonts w:ascii="Times New Roman" w:hAnsi="Times New Roman"/>
          <w:sz w:val="24"/>
          <w:szCs w:val="24"/>
          <w:lang w:eastAsia="en-AU"/>
        </w:rPr>
        <w:t xml:space="preserve">; an interviewer Google site </w:t>
      </w:r>
      <w:r>
        <w:rPr>
          <w:rFonts w:ascii="Times New Roman" w:hAnsi="Times New Roman"/>
          <w:sz w:val="24"/>
          <w:szCs w:val="24"/>
          <w:lang w:eastAsia="en-AU"/>
        </w:rPr>
        <w:t xml:space="preserve">that </w:t>
      </w:r>
      <w:r w:rsidRPr="00661E25">
        <w:rPr>
          <w:rFonts w:ascii="Times New Roman" w:hAnsi="Times New Roman"/>
          <w:sz w:val="24"/>
          <w:szCs w:val="24"/>
          <w:lang w:eastAsia="en-AU"/>
        </w:rPr>
        <w:t xml:space="preserve">collected interviewer discussion forum postings about each of 300 life history interviews and offers an essential finding aid to the interviews; a ZOTERO database </w:t>
      </w:r>
      <w:r>
        <w:rPr>
          <w:rFonts w:ascii="Times New Roman" w:hAnsi="Times New Roman"/>
          <w:sz w:val="24"/>
          <w:szCs w:val="24"/>
          <w:lang w:eastAsia="en-AU"/>
        </w:rPr>
        <w:t xml:space="preserve">that </w:t>
      </w:r>
      <w:r w:rsidRPr="00661E25">
        <w:rPr>
          <w:rFonts w:ascii="Times New Roman" w:hAnsi="Times New Roman"/>
          <w:sz w:val="24"/>
          <w:szCs w:val="24"/>
          <w:lang w:eastAsia="en-AU"/>
        </w:rPr>
        <w:t xml:space="preserve">combines the different types of data produced by the project, which grows as researchers add notes about each interview and which will, in due course, be available to future researchers; and an aural history book </w:t>
      </w:r>
      <w:r>
        <w:rPr>
          <w:rFonts w:ascii="Times New Roman" w:hAnsi="Times New Roman"/>
          <w:sz w:val="24"/>
          <w:szCs w:val="24"/>
          <w:lang w:eastAsia="en-AU"/>
        </w:rPr>
        <w:t xml:space="preserve">that </w:t>
      </w:r>
      <w:r w:rsidRPr="00661E25">
        <w:rPr>
          <w:rFonts w:ascii="Times New Roman" w:hAnsi="Times New Roman"/>
          <w:sz w:val="24"/>
          <w:szCs w:val="24"/>
          <w:lang w:eastAsia="en-AU"/>
        </w:rPr>
        <w:t xml:space="preserve">enables readers/viewers to listen to interview extracts as they </w:t>
      </w:r>
      <w:r w:rsidRPr="00661E25">
        <w:rPr>
          <w:rFonts w:ascii="Times New Roman" w:hAnsi="Times New Roman"/>
          <w:sz w:val="24"/>
          <w:szCs w:val="24"/>
          <w:lang w:eastAsia="en-AU"/>
        </w:rPr>
        <w:lastRenderedPageBreak/>
        <w:t>read them, and to discover the aural meanings of recorded interviews. Each technological innovation has posed significant ethical issues</w:t>
      </w:r>
      <w:r>
        <w:rPr>
          <w:rFonts w:ascii="Times New Roman" w:hAnsi="Times New Roman"/>
          <w:sz w:val="24"/>
          <w:szCs w:val="24"/>
          <w:lang w:eastAsia="en-AU"/>
        </w:rPr>
        <w:t>,</w:t>
      </w:r>
      <w:r w:rsidRPr="00661E25">
        <w:rPr>
          <w:rFonts w:ascii="Times New Roman" w:hAnsi="Times New Roman"/>
          <w:sz w:val="24"/>
          <w:szCs w:val="24"/>
          <w:lang w:eastAsia="en-AU"/>
        </w:rPr>
        <w:t xml:space="preserve"> which we will examine in our presentation (for example, each interviewee completes an NLA Rights Agreement </w:t>
      </w:r>
      <w:r>
        <w:rPr>
          <w:rFonts w:ascii="Times New Roman" w:hAnsi="Times New Roman"/>
          <w:sz w:val="24"/>
          <w:szCs w:val="24"/>
          <w:lang w:eastAsia="en-AU"/>
        </w:rPr>
        <w:t xml:space="preserve">that </w:t>
      </w:r>
      <w:r w:rsidRPr="00661E25">
        <w:rPr>
          <w:rFonts w:ascii="Times New Roman" w:hAnsi="Times New Roman"/>
          <w:sz w:val="24"/>
          <w:szCs w:val="24"/>
          <w:lang w:eastAsia="en-AU"/>
        </w:rPr>
        <w:t xml:space="preserve">specifies conditions for use of their interview, but in some cases we have closed interviews that interviewees wish to place online because of contents that are potentially defamatory or </w:t>
      </w:r>
      <w:r>
        <w:rPr>
          <w:rFonts w:ascii="Times New Roman" w:hAnsi="Times New Roman"/>
          <w:sz w:val="24"/>
          <w:szCs w:val="24"/>
          <w:lang w:eastAsia="en-AU"/>
        </w:rPr>
        <w:t xml:space="preserve">that </w:t>
      </w:r>
      <w:r w:rsidRPr="00661E25">
        <w:rPr>
          <w:rFonts w:ascii="Times New Roman" w:hAnsi="Times New Roman"/>
          <w:sz w:val="24"/>
          <w:szCs w:val="24"/>
          <w:lang w:eastAsia="en-AU"/>
        </w:rPr>
        <w:t>reveal illegal activity).</w:t>
      </w:r>
    </w:p>
    <w:p w:rsidR="008D171A" w:rsidRPr="00661E25" w:rsidRDefault="008D171A" w:rsidP="00661E25">
      <w:pPr>
        <w:spacing w:after="0" w:line="320" w:lineRule="exact"/>
        <w:rPr>
          <w:rFonts w:ascii="Times New Roman" w:hAnsi="Times New Roman"/>
          <w:sz w:val="24"/>
          <w:szCs w:val="24"/>
          <w:lang w:eastAsia="en-AU"/>
        </w:rPr>
      </w:pPr>
    </w:p>
    <w:p w:rsidR="008D171A" w:rsidRPr="00661E25" w:rsidRDefault="008D171A" w:rsidP="00661E25">
      <w:pPr>
        <w:spacing w:after="0" w:line="320" w:lineRule="exact"/>
        <w:rPr>
          <w:rFonts w:ascii="Times New Roman" w:hAnsi="Times New Roman"/>
          <w:b/>
          <w:sz w:val="24"/>
          <w:szCs w:val="24"/>
        </w:rPr>
      </w:pPr>
      <w:r w:rsidRPr="00661E25">
        <w:rPr>
          <w:rFonts w:ascii="Times New Roman" w:hAnsi="Times New Roman"/>
          <w:b/>
          <w:sz w:val="24"/>
          <w:szCs w:val="24"/>
        </w:rPr>
        <w:t>References</w:t>
      </w:r>
    </w:p>
    <w:p w:rsidR="008D171A" w:rsidRPr="00661E25" w:rsidRDefault="008D171A" w:rsidP="00661E25">
      <w:pPr>
        <w:spacing w:after="0" w:line="320" w:lineRule="exact"/>
        <w:rPr>
          <w:rFonts w:ascii="Times New Roman" w:hAnsi="Times New Roman"/>
          <w:sz w:val="24"/>
          <w:szCs w:val="24"/>
        </w:rPr>
      </w:pPr>
      <w:r w:rsidRPr="002B533E">
        <w:rPr>
          <w:rFonts w:ascii="Times New Roman" w:hAnsi="Times New Roman"/>
          <w:b/>
          <w:sz w:val="24"/>
          <w:szCs w:val="24"/>
        </w:rPr>
        <w:t>Armitage, S. H. and Gluck, S. B.</w:t>
      </w:r>
      <w:r w:rsidRPr="00661E25">
        <w:rPr>
          <w:rFonts w:ascii="Times New Roman" w:hAnsi="Times New Roman"/>
          <w:sz w:val="24"/>
          <w:szCs w:val="24"/>
        </w:rPr>
        <w:t xml:space="preserve"> (2006). Reflections on Women’s Oral History: An Exchange. In Perks, R. and Thomson, A. (eds), </w:t>
      </w:r>
      <w:r w:rsidRPr="00661E25">
        <w:rPr>
          <w:rFonts w:ascii="Times New Roman" w:hAnsi="Times New Roman"/>
          <w:i/>
          <w:sz w:val="24"/>
          <w:szCs w:val="24"/>
        </w:rPr>
        <w:t>The Oral History Reader</w:t>
      </w:r>
      <w:r w:rsidRPr="00661E25">
        <w:rPr>
          <w:rFonts w:ascii="Times New Roman" w:hAnsi="Times New Roman"/>
          <w:sz w:val="24"/>
          <w:szCs w:val="24"/>
        </w:rPr>
        <w:t>. 2nd ed. London: Routledge, p. 74.</w:t>
      </w:r>
    </w:p>
    <w:p w:rsidR="008D171A" w:rsidRPr="00661E25" w:rsidRDefault="008D171A" w:rsidP="00661E25">
      <w:pPr>
        <w:spacing w:after="0" w:line="320" w:lineRule="exact"/>
        <w:rPr>
          <w:rFonts w:ascii="Times New Roman" w:hAnsi="Times New Roman"/>
          <w:bCs/>
          <w:sz w:val="24"/>
          <w:szCs w:val="24"/>
        </w:rPr>
      </w:pPr>
      <w:r w:rsidRPr="002B533E">
        <w:rPr>
          <w:rFonts w:ascii="Times New Roman" w:hAnsi="Times New Roman"/>
          <w:b/>
          <w:bCs/>
          <w:sz w:val="24"/>
          <w:szCs w:val="24"/>
        </w:rPr>
        <w:t>Boyd, D.</w:t>
      </w:r>
      <w:r w:rsidRPr="00661E25">
        <w:rPr>
          <w:rFonts w:ascii="Times New Roman" w:hAnsi="Times New Roman"/>
          <w:bCs/>
          <w:sz w:val="24"/>
          <w:szCs w:val="24"/>
        </w:rPr>
        <w:t xml:space="preserve"> (2011). Achieving the Promise of Oral History in a Digital Age. In Ritchie, D. (ed.), </w:t>
      </w:r>
      <w:r w:rsidRPr="00661E25">
        <w:rPr>
          <w:rFonts w:ascii="Times New Roman" w:hAnsi="Times New Roman"/>
          <w:bCs/>
          <w:i/>
          <w:sz w:val="24"/>
          <w:szCs w:val="24"/>
        </w:rPr>
        <w:t>The Oxford Handbook of Oral History</w:t>
      </w:r>
      <w:r w:rsidRPr="00661E25">
        <w:rPr>
          <w:rFonts w:ascii="Times New Roman" w:hAnsi="Times New Roman"/>
          <w:bCs/>
          <w:sz w:val="24"/>
          <w:szCs w:val="24"/>
        </w:rPr>
        <w:t>. Oxford: Oxford University Press, pp. 285–302.</w:t>
      </w:r>
    </w:p>
    <w:p w:rsidR="008D171A" w:rsidRPr="00661E25" w:rsidRDefault="008D171A" w:rsidP="00661E25">
      <w:pPr>
        <w:spacing w:after="0" w:line="320" w:lineRule="exact"/>
        <w:rPr>
          <w:rFonts w:ascii="Times New Roman" w:hAnsi="Times New Roman"/>
          <w:bCs/>
          <w:sz w:val="24"/>
          <w:szCs w:val="24"/>
        </w:rPr>
      </w:pPr>
      <w:r w:rsidRPr="00661E25">
        <w:rPr>
          <w:rFonts w:ascii="Times New Roman" w:hAnsi="Times New Roman"/>
          <w:b/>
          <w:bCs/>
          <w:sz w:val="24"/>
          <w:szCs w:val="24"/>
        </w:rPr>
        <w:t>Boyd, D.</w:t>
      </w:r>
      <w:r w:rsidRPr="00661E25">
        <w:rPr>
          <w:rFonts w:ascii="Times New Roman" w:hAnsi="Times New Roman"/>
          <w:bCs/>
          <w:sz w:val="24"/>
          <w:szCs w:val="24"/>
        </w:rPr>
        <w:t xml:space="preserve"> (2013). OHMS: Enhancing Access to Oral History for Free. </w:t>
      </w:r>
      <w:r w:rsidRPr="00661E25">
        <w:rPr>
          <w:rFonts w:ascii="Times New Roman" w:hAnsi="Times New Roman"/>
          <w:bCs/>
          <w:i/>
          <w:sz w:val="24"/>
          <w:szCs w:val="24"/>
        </w:rPr>
        <w:t>Oral History Review,</w:t>
      </w:r>
      <w:r w:rsidRPr="00661E25">
        <w:rPr>
          <w:rFonts w:ascii="Times New Roman" w:hAnsi="Times New Roman"/>
          <w:bCs/>
          <w:sz w:val="24"/>
          <w:szCs w:val="24"/>
        </w:rPr>
        <w:t xml:space="preserve"> </w:t>
      </w:r>
      <w:r w:rsidRPr="002B533E">
        <w:rPr>
          <w:rFonts w:ascii="Times New Roman" w:hAnsi="Times New Roman"/>
          <w:b/>
          <w:bCs/>
          <w:sz w:val="24"/>
          <w:szCs w:val="24"/>
        </w:rPr>
        <w:t>40</w:t>
      </w:r>
      <w:r w:rsidRPr="00661E25">
        <w:rPr>
          <w:rFonts w:ascii="Times New Roman" w:hAnsi="Times New Roman"/>
          <w:bCs/>
          <w:sz w:val="24"/>
          <w:szCs w:val="24"/>
        </w:rPr>
        <w:t xml:space="preserve">(1): 95–106. </w:t>
      </w:r>
    </w:p>
    <w:p w:rsidR="008D171A" w:rsidRPr="00661E25" w:rsidRDefault="008D171A" w:rsidP="00661E25">
      <w:pPr>
        <w:spacing w:after="0" w:line="320" w:lineRule="exact"/>
        <w:rPr>
          <w:rFonts w:ascii="Times New Roman" w:hAnsi="Times New Roman"/>
          <w:sz w:val="24"/>
          <w:szCs w:val="24"/>
        </w:rPr>
      </w:pPr>
      <w:r w:rsidRPr="002B533E">
        <w:rPr>
          <w:rFonts w:ascii="Times New Roman" w:hAnsi="Times New Roman"/>
          <w:b/>
          <w:sz w:val="24"/>
          <w:szCs w:val="24"/>
        </w:rPr>
        <w:t>Bradley, K.</w:t>
      </w:r>
      <w:r w:rsidRPr="00661E25">
        <w:rPr>
          <w:rFonts w:ascii="Times New Roman" w:hAnsi="Times New Roman"/>
          <w:sz w:val="24"/>
          <w:szCs w:val="24"/>
        </w:rPr>
        <w:t xml:space="preserve"> (</w:t>
      </w:r>
      <w:r>
        <w:rPr>
          <w:rFonts w:ascii="Times New Roman" w:hAnsi="Times New Roman"/>
          <w:sz w:val="24"/>
          <w:szCs w:val="24"/>
        </w:rPr>
        <w:t>2014</w:t>
      </w:r>
      <w:r w:rsidRPr="00661E25">
        <w:rPr>
          <w:rFonts w:ascii="Times New Roman" w:hAnsi="Times New Roman"/>
          <w:sz w:val="24"/>
          <w:szCs w:val="24"/>
        </w:rPr>
        <w:t xml:space="preserve">). Built on Sound Principles: Audio Management and Delivery at the National Library of Australia. </w:t>
      </w:r>
      <w:r w:rsidRPr="00661E25">
        <w:rPr>
          <w:rFonts w:ascii="Times New Roman" w:hAnsi="Times New Roman"/>
          <w:i/>
          <w:sz w:val="24"/>
          <w:szCs w:val="24"/>
        </w:rPr>
        <w:t>IFLA Journal.</w:t>
      </w:r>
      <w:r w:rsidRPr="00661E25">
        <w:rPr>
          <w:rFonts w:ascii="Times New Roman" w:hAnsi="Times New Roman"/>
          <w:sz w:val="24"/>
          <w:szCs w:val="24"/>
        </w:rPr>
        <w:t xml:space="preserve"> </w:t>
      </w:r>
    </w:p>
    <w:p w:rsidR="008D171A" w:rsidRPr="00661E25" w:rsidRDefault="008D171A" w:rsidP="00661E25">
      <w:pPr>
        <w:spacing w:after="0" w:line="320" w:lineRule="exact"/>
        <w:rPr>
          <w:rFonts w:ascii="Times New Roman" w:hAnsi="Times New Roman"/>
          <w:sz w:val="24"/>
          <w:szCs w:val="24"/>
        </w:rPr>
      </w:pPr>
      <w:r w:rsidRPr="002B533E">
        <w:rPr>
          <w:rFonts w:ascii="Times New Roman" w:hAnsi="Times New Roman"/>
          <w:b/>
          <w:sz w:val="24"/>
          <w:szCs w:val="24"/>
        </w:rPr>
        <w:t>Frisch, M. and Lambert, D.</w:t>
      </w:r>
      <w:r w:rsidRPr="00661E25">
        <w:rPr>
          <w:rFonts w:ascii="Times New Roman" w:hAnsi="Times New Roman"/>
          <w:sz w:val="24"/>
          <w:szCs w:val="24"/>
        </w:rPr>
        <w:t xml:space="preserve"> (2011). Case Study: Between the Raw and the Cooked in Oral History: Notes from the Kitchen. </w:t>
      </w:r>
      <w:r w:rsidRPr="00661E25">
        <w:rPr>
          <w:rFonts w:ascii="Times New Roman" w:hAnsi="Times New Roman"/>
          <w:bCs/>
          <w:sz w:val="24"/>
          <w:szCs w:val="24"/>
        </w:rPr>
        <w:t xml:space="preserve">In Ritchie, D. (ed.), </w:t>
      </w:r>
      <w:r w:rsidRPr="00661E25">
        <w:rPr>
          <w:rFonts w:ascii="Times New Roman" w:hAnsi="Times New Roman"/>
          <w:bCs/>
          <w:i/>
          <w:sz w:val="24"/>
          <w:szCs w:val="24"/>
        </w:rPr>
        <w:t>The Oxford Handbook of Oral History</w:t>
      </w:r>
      <w:r w:rsidRPr="00661E25">
        <w:rPr>
          <w:rFonts w:ascii="Times New Roman" w:hAnsi="Times New Roman"/>
          <w:bCs/>
          <w:sz w:val="24"/>
          <w:szCs w:val="24"/>
        </w:rPr>
        <w:t xml:space="preserve">. Oxford: Oxford University Press, pp. </w:t>
      </w:r>
      <w:r w:rsidRPr="00661E25">
        <w:rPr>
          <w:rFonts w:ascii="Times New Roman" w:hAnsi="Times New Roman"/>
          <w:sz w:val="24"/>
          <w:szCs w:val="24"/>
        </w:rPr>
        <w:t>333–48.</w:t>
      </w:r>
    </w:p>
    <w:p w:rsidR="008D171A" w:rsidRPr="00661E25" w:rsidRDefault="008D171A" w:rsidP="00661E25">
      <w:pPr>
        <w:spacing w:after="0" w:line="320" w:lineRule="exact"/>
        <w:rPr>
          <w:rFonts w:ascii="Times New Roman" w:hAnsi="Times New Roman"/>
          <w:sz w:val="24"/>
          <w:szCs w:val="24"/>
        </w:rPr>
      </w:pPr>
      <w:r w:rsidRPr="002B533E">
        <w:rPr>
          <w:rFonts w:ascii="Times New Roman" w:hAnsi="Times New Roman"/>
          <w:b/>
          <w:sz w:val="24"/>
          <w:szCs w:val="24"/>
        </w:rPr>
        <w:t>Gallwey, A.</w:t>
      </w:r>
      <w:r w:rsidRPr="00661E25">
        <w:rPr>
          <w:rFonts w:ascii="Times New Roman" w:hAnsi="Times New Roman"/>
          <w:sz w:val="24"/>
          <w:szCs w:val="24"/>
        </w:rPr>
        <w:t xml:space="preserve"> (2013). The Rewards of Using Archived Oral Histories in Research: The Case of the Millennium Memory Bank. </w:t>
      </w:r>
      <w:r w:rsidRPr="00661E25">
        <w:rPr>
          <w:rFonts w:ascii="Times New Roman" w:hAnsi="Times New Roman"/>
          <w:i/>
          <w:sz w:val="24"/>
          <w:szCs w:val="24"/>
        </w:rPr>
        <w:t>Oral History,</w:t>
      </w:r>
      <w:r w:rsidRPr="00661E25">
        <w:rPr>
          <w:rFonts w:ascii="Times New Roman" w:hAnsi="Times New Roman"/>
          <w:sz w:val="24"/>
          <w:szCs w:val="24"/>
        </w:rPr>
        <w:t xml:space="preserve"> </w:t>
      </w:r>
      <w:r w:rsidRPr="002B533E">
        <w:rPr>
          <w:rFonts w:ascii="Times New Roman" w:hAnsi="Times New Roman"/>
          <w:b/>
          <w:sz w:val="24"/>
          <w:szCs w:val="24"/>
        </w:rPr>
        <w:t>41</w:t>
      </w:r>
      <w:r w:rsidRPr="00661E25">
        <w:rPr>
          <w:rFonts w:ascii="Times New Roman" w:hAnsi="Times New Roman"/>
          <w:sz w:val="24"/>
          <w:szCs w:val="24"/>
        </w:rPr>
        <w:t>(1): 37–50.</w:t>
      </w:r>
    </w:p>
    <w:p w:rsidR="008D171A" w:rsidRPr="00661E25" w:rsidRDefault="008D171A" w:rsidP="00661E25">
      <w:pPr>
        <w:spacing w:after="0" w:line="320" w:lineRule="exact"/>
        <w:rPr>
          <w:rFonts w:ascii="Times New Roman" w:hAnsi="Times New Roman"/>
          <w:sz w:val="24"/>
          <w:szCs w:val="24"/>
        </w:rPr>
      </w:pPr>
      <w:r w:rsidRPr="002B533E">
        <w:rPr>
          <w:rFonts w:ascii="Times New Roman" w:hAnsi="Times New Roman"/>
          <w:b/>
          <w:sz w:val="24"/>
          <w:szCs w:val="24"/>
        </w:rPr>
        <w:t>High, S.</w:t>
      </w:r>
      <w:r w:rsidRPr="00661E25">
        <w:rPr>
          <w:rFonts w:ascii="Times New Roman" w:hAnsi="Times New Roman"/>
          <w:sz w:val="24"/>
          <w:szCs w:val="24"/>
        </w:rPr>
        <w:t xml:space="preserve"> (2010). Telling Stories: A Reflection on Oral History and New Media. </w:t>
      </w:r>
      <w:r w:rsidRPr="00661E25">
        <w:rPr>
          <w:rFonts w:ascii="Times New Roman" w:hAnsi="Times New Roman"/>
          <w:i/>
          <w:sz w:val="24"/>
          <w:szCs w:val="24"/>
        </w:rPr>
        <w:t>Oral History,</w:t>
      </w:r>
      <w:r w:rsidRPr="00661E25">
        <w:rPr>
          <w:rFonts w:ascii="Times New Roman" w:hAnsi="Times New Roman"/>
          <w:sz w:val="24"/>
          <w:szCs w:val="24"/>
        </w:rPr>
        <w:t xml:space="preserve"> </w:t>
      </w:r>
      <w:r w:rsidRPr="002B533E">
        <w:rPr>
          <w:rFonts w:ascii="Times New Roman" w:hAnsi="Times New Roman"/>
          <w:b/>
          <w:sz w:val="24"/>
          <w:szCs w:val="24"/>
        </w:rPr>
        <w:t>38</w:t>
      </w:r>
      <w:r w:rsidRPr="00661E25">
        <w:rPr>
          <w:rFonts w:ascii="Times New Roman" w:hAnsi="Times New Roman"/>
          <w:sz w:val="24"/>
          <w:szCs w:val="24"/>
        </w:rPr>
        <w:t>(1): 101–12.</w:t>
      </w:r>
    </w:p>
    <w:p w:rsidR="008D171A" w:rsidRPr="00661E25" w:rsidRDefault="008D171A" w:rsidP="00661E25">
      <w:pPr>
        <w:spacing w:after="0" w:line="320" w:lineRule="exact"/>
        <w:rPr>
          <w:rFonts w:ascii="Times New Roman" w:hAnsi="Times New Roman"/>
          <w:sz w:val="24"/>
          <w:szCs w:val="24"/>
        </w:rPr>
      </w:pPr>
      <w:r w:rsidRPr="002B533E">
        <w:rPr>
          <w:rFonts w:ascii="Times New Roman" w:hAnsi="Times New Roman"/>
          <w:b/>
          <w:sz w:val="24"/>
          <w:szCs w:val="24"/>
        </w:rPr>
        <w:t>Lambert, D. and Frisch, M.</w:t>
      </w:r>
      <w:r w:rsidRPr="00661E25">
        <w:rPr>
          <w:rFonts w:ascii="Times New Roman" w:hAnsi="Times New Roman"/>
          <w:sz w:val="24"/>
          <w:szCs w:val="24"/>
        </w:rPr>
        <w:t xml:space="preserve"> (2013). </w:t>
      </w:r>
      <w:r w:rsidRPr="00661E25">
        <w:rPr>
          <w:rFonts w:ascii="Times New Roman" w:hAnsi="Times New Roman"/>
          <w:bCs/>
          <w:sz w:val="24"/>
          <w:szCs w:val="24"/>
        </w:rPr>
        <w:t>Digital Curation through Information Cartography: A Commentary on Oral History in the Digital Age from a Content Management Point of View.</w:t>
      </w:r>
      <w:r w:rsidRPr="00661E25">
        <w:rPr>
          <w:rFonts w:ascii="Times New Roman" w:hAnsi="Times New Roman"/>
          <w:sz w:val="24"/>
          <w:szCs w:val="24"/>
        </w:rPr>
        <w:t xml:space="preserve"> </w:t>
      </w:r>
      <w:r w:rsidRPr="00661E25">
        <w:rPr>
          <w:rFonts w:ascii="Times New Roman" w:hAnsi="Times New Roman"/>
          <w:i/>
          <w:sz w:val="24"/>
          <w:szCs w:val="24"/>
        </w:rPr>
        <w:t>Oral History Review,</w:t>
      </w:r>
      <w:r w:rsidRPr="00661E25">
        <w:rPr>
          <w:rFonts w:ascii="Times New Roman" w:hAnsi="Times New Roman"/>
          <w:sz w:val="24"/>
          <w:szCs w:val="24"/>
        </w:rPr>
        <w:t xml:space="preserve"> </w:t>
      </w:r>
      <w:r w:rsidRPr="002B533E">
        <w:rPr>
          <w:rFonts w:ascii="Times New Roman" w:hAnsi="Times New Roman"/>
          <w:b/>
          <w:sz w:val="24"/>
          <w:szCs w:val="24"/>
        </w:rPr>
        <w:t>40</w:t>
      </w:r>
      <w:r w:rsidRPr="00661E25">
        <w:rPr>
          <w:rFonts w:ascii="Times New Roman" w:hAnsi="Times New Roman"/>
          <w:sz w:val="24"/>
          <w:szCs w:val="24"/>
        </w:rPr>
        <w:t>(1): 135–53.</w:t>
      </w:r>
    </w:p>
    <w:p w:rsidR="008D171A" w:rsidRPr="00661E25" w:rsidRDefault="008D171A" w:rsidP="00661E25">
      <w:pPr>
        <w:spacing w:after="0" w:line="320" w:lineRule="exact"/>
        <w:rPr>
          <w:rFonts w:ascii="Times New Roman" w:hAnsi="Times New Roman"/>
          <w:sz w:val="24"/>
          <w:szCs w:val="24"/>
        </w:rPr>
      </w:pPr>
      <w:r w:rsidRPr="002B533E">
        <w:rPr>
          <w:rFonts w:ascii="Times New Roman" w:hAnsi="Times New Roman"/>
          <w:b/>
          <w:sz w:val="24"/>
          <w:szCs w:val="24"/>
        </w:rPr>
        <w:t>Larson, M.</w:t>
      </w:r>
      <w:r w:rsidRPr="00661E25">
        <w:rPr>
          <w:rFonts w:ascii="Times New Roman" w:hAnsi="Times New Roman"/>
          <w:sz w:val="24"/>
          <w:szCs w:val="24"/>
        </w:rPr>
        <w:t xml:space="preserve"> (2013). Steering Clear of the Rocks: A Look at the Current State of Oral History Ethics in the Digital Age.</w:t>
      </w:r>
      <w:r w:rsidRPr="00661E25">
        <w:rPr>
          <w:rFonts w:ascii="Times New Roman" w:hAnsi="Times New Roman"/>
          <w:i/>
          <w:sz w:val="24"/>
          <w:szCs w:val="24"/>
        </w:rPr>
        <w:t xml:space="preserve"> Oral History Review,</w:t>
      </w:r>
      <w:r w:rsidRPr="00661E25">
        <w:rPr>
          <w:rFonts w:ascii="Times New Roman" w:hAnsi="Times New Roman"/>
          <w:sz w:val="24"/>
          <w:szCs w:val="24"/>
        </w:rPr>
        <w:t xml:space="preserve"> </w:t>
      </w:r>
      <w:r w:rsidRPr="002B533E">
        <w:rPr>
          <w:rFonts w:ascii="Times New Roman" w:hAnsi="Times New Roman"/>
          <w:b/>
          <w:sz w:val="24"/>
          <w:szCs w:val="24"/>
        </w:rPr>
        <w:t>40</w:t>
      </w:r>
      <w:r w:rsidRPr="00661E25">
        <w:rPr>
          <w:rFonts w:ascii="Times New Roman" w:hAnsi="Times New Roman"/>
          <w:sz w:val="24"/>
          <w:szCs w:val="24"/>
        </w:rPr>
        <w:t>(1): 36–49.</w:t>
      </w:r>
    </w:p>
    <w:p w:rsidR="008D171A" w:rsidRPr="00661E25" w:rsidRDefault="008D171A" w:rsidP="00661E25">
      <w:pPr>
        <w:spacing w:after="0" w:line="320" w:lineRule="exact"/>
        <w:rPr>
          <w:rFonts w:ascii="Times New Roman" w:hAnsi="Times New Roman"/>
          <w:bCs/>
          <w:sz w:val="24"/>
          <w:szCs w:val="24"/>
          <w:lang w:val="en-US"/>
        </w:rPr>
      </w:pPr>
      <w:r w:rsidRPr="002B533E">
        <w:rPr>
          <w:rFonts w:ascii="Times New Roman" w:hAnsi="Times New Roman"/>
          <w:b/>
          <w:sz w:val="24"/>
          <w:szCs w:val="24"/>
        </w:rPr>
        <w:t>Thomson, A.</w:t>
      </w:r>
      <w:r w:rsidRPr="00661E25">
        <w:rPr>
          <w:rFonts w:ascii="Times New Roman" w:hAnsi="Times New Roman"/>
          <w:sz w:val="24"/>
          <w:szCs w:val="24"/>
        </w:rPr>
        <w:t xml:space="preserve"> (2007). </w:t>
      </w:r>
      <w:r w:rsidRPr="00661E25">
        <w:rPr>
          <w:rFonts w:ascii="Times New Roman" w:hAnsi="Times New Roman"/>
          <w:bCs/>
          <w:sz w:val="24"/>
          <w:szCs w:val="24"/>
          <w:lang w:val="en-US"/>
        </w:rPr>
        <w:t xml:space="preserve">Four Paradigm Transformations in Oral History. </w:t>
      </w:r>
      <w:r w:rsidRPr="00661E25">
        <w:rPr>
          <w:rFonts w:ascii="Times New Roman" w:hAnsi="Times New Roman"/>
          <w:bCs/>
          <w:i/>
          <w:sz w:val="24"/>
          <w:szCs w:val="24"/>
          <w:lang w:val="en-US"/>
        </w:rPr>
        <w:t>Oral History Review,</w:t>
      </w:r>
      <w:r w:rsidRPr="00661E25">
        <w:rPr>
          <w:rFonts w:ascii="Times New Roman" w:hAnsi="Times New Roman"/>
          <w:bCs/>
          <w:sz w:val="24"/>
          <w:szCs w:val="24"/>
          <w:lang w:val="en-US"/>
        </w:rPr>
        <w:t xml:space="preserve"> </w:t>
      </w:r>
      <w:r w:rsidRPr="002B533E">
        <w:rPr>
          <w:rFonts w:ascii="Times New Roman" w:hAnsi="Times New Roman"/>
          <w:b/>
          <w:bCs/>
          <w:sz w:val="24"/>
          <w:szCs w:val="24"/>
          <w:lang w:val="en-US"/>
        </w:rPr>
        <w:t>34</w:t>
      </w:r>
      <w:r w:rsidRPr="00661E25">
        <w:rPr>
          <w:rFonts w:ascii="Times New Roman" w:hAnsi="Times New Roman"/>
          <w:bCs/>
          <w:sz w:val="24"/>
          <w:szCs w:val="24"/>
          <w:lang w:val="en-US"/>
        </w:rPr>
        <w:t>(1): 49–70.</w:t>
      </w:r>
    </w:p>
    <w:p w:rsidR="008D171A" w:rsidRPr="00661E25" w:rsidRDefault="008D171A" w:rsidP="00661E25">
      <w:pPr>
        <w:spacing w:after="0" w:line="320" w:lineRule="exact"/>
        <w:rPr>
          <w:rFonts w:ascii="Times New Roman" w:hAnsi="Times New Roman"/>
          <w:bCs/>
          <w:sz w:val="24"/>
          <w:szCs w:val="24"/>
        </w:rPr>
      </w:pPr>
      <w:r w:rsidRPr="002B533E">
        <w:rPr>
          <w:rFonts w:ascii="Times New Roman" w:hAnsi="Times New Roman"/>
          <w:b/>
          <w:bCs/>
          <w:sz w:val="24"/>
          <w:szCs w:val="24"/>
        </w:rPr>
        <w:t>Zembrzycki, S.</w:t>
      </w:r>
      <w:r w:rsidRPr="00661E25">
        <w:rPr>
          <w:rFonts w:ascii="Times New Roman" w:hAnsi="Times New Roman"/>
          <w:bCs/>
          <w:sz w:val="24"/>
          <w:szCs w:val="24"/>
        </w:rPr>
        <w:t xml:space="preserve"> (2013). Bringing Stories to Life: Using New Media to Disseminate and Critically Engage with Oral History Interviews. </w:t>
      </w:r>
      <w:r w:rsidRPr="00661E25">
        <w:rPr>
          <w:rFonts w:ascii="Times New Roman" w:hAnsi="Times New Roman"/>
          <w:bCs/>
          <w:i/>
          <w:sz w:val="24"/>
          <w:szCs w:val="24"/>
        </w:rPr>
        <w:t>Oral History,</w:t>
      </w:r>
      <w:r w:rsidRPr="00661E25">
        <w:rPr>
          <w:rFonts w:ascii="Times New Roman" w:hAnsi="Times New Roman"/>
          <w:bCs/>
          <w:sz w:val="24"/>
          <w:szCs w:val="24"/>
        </w:rPr>
        <w:t xml:space="preserve"> </w:t>
      </w:r>
      <w:r w:rsidRPr="002B533E">
        <w:rPr>
          <w:rFonts w:ascii="Times New Roman" w:hAnsi="Times New Roman"/>
          <w:b/>
          <w:bCs/>
          <w:sz w:val="24"/>
          <w:szCs w:val="24"/>
        </w:rPr>
        <w:t>41</w:t>
      </w:r>
      <w:r w:rsidRPr="00661E25">
        <w:rPr>
          <w:rFonts w:ascii="Times New Roman" w:hAnsi="Times New Roman"/>
          <w:bCs/>
          <w:sz w:val="24"/>
          <w:szCs w:val="24"/>
        </w:rPr>
        <w:t>(1): 98–107.</w:t>
      </w:r>
    </w:p>
    <w:p w:rsidR="008D171A" w:rsidRPr="00661E25" w:rsidRDefault="008D171A" w:rsidP="00661E25">
      <w:pPr>
        <w:spacing w:after="0" w:line="320" w:lineRule="exact"/>
        <w:rPr>
          <w:rFonts w:ascii="Times New Roman" w:hAnsi="Times New Roman"/>
          <w:sz w:val="24"/>
          <w:szCs w:val="24"/>
        </w:rPr>
      </w:pPr>
    </w:p>
    <w:p w:rsidR="008D171A" w:rsidRPr="00661E25" w:rsidRDefault="008D171A" w:rsidP="00661E25">
      <w:pPr>
        <w:spacing w:after="0" w:line="320" w:lineRule="exact"/>
        <w:rPr>
          <w:rFonts w:ascii="Times New Roman" w:hAnsi="Times New Roman"/>
          <w:bCs/>
          <w:sz w:val="24"/>
          <w:szCs w:val="24"/>
          <w:lang w:val="en-US"/>
        </w:rPr>
      </w:pPr>
      <w:r w:rsidRPr="00661E25">
        <w:rPr>
          <w:rFonts w:ascii="Times New Roman" w:hAnsi="Times New Roman"/>
          <w:sz w:val="24"/>
          <w:szCs w:val="24"/>
        </w:rPr>
        <w:t xml:space="preserve">This link will take you to all the Australian Generation interviews that are accessible online through the National Library catalogue: </w:t>
      </w:r>
      <w:r w:rsidRPr="002B533E">
        <w:rPr>
          <w:rFonts w:ascii="Times New Roman" w:hAnsi="Times New Roman"/>
          <w:sz w:val="24"/>
          <w:szCs w:val="24"/>
        </w:rPr>
        <w:t>http://catalogue.nla.gov.au/Search/Home?lookfor=my_parent:%22(AuCNL)5973925%22&amp;iknowwhatimean=1&amp;filter[]=access_type:%22All%20online%22</w:t>
      </w:r>
      <w:r w:rsidRPr="00661E25">
        <w:rPr>
          <w:rFonts w:ascii="Times New Roman" w:hAnsi="Times New Roman"/>
          <w:sz w:val="24"/>
          <w:szCs w:val="24"/>
        </w:rPr>
        <w:t>.</w:t>
      </w:r>
    </w:p>
    <w:p w:rsidR="008D171A" w:rsidRPr="00661E25" w:rsidRDefault="008B533D" w:rsidP="00661E25">
      <w:pPr>
        <w:shd w:val="clear" w:color="auto" w:fill="FFFFFF"/>
        <w:spacing w:after="0" w:line="320" w:lineRule="exact"/>
        <w:ind w:right="24"/>
        <w:rPr>
          <w:rFonts w:ascii="Times New Roman" w:hAnsi="Times New Roman"/>
          <w:sz w:val="24"/>
          <w:szCs w:val="24"/>
          <w:lang w:eastAsia="en-AU"/>
        </w:rPr>
      </w:pPr>
      <w:r>
        <w:rPr>
          <w:rFonts w:ascii="Times New Roman" w:hAnsi="Times New Roman"/>
          <w:sz w:val="24"/>
          <w:szCs w:val="24"/>
          <w:lang w:eastAsia="en-AU"/>
        </w:rPr>
        <w:t xml:space="preserve"> </w:t>
      </w:r>
      <w:bookmarkStart w:id="0" w:name="_GoBack"/>
      <w:bookmarkEnd w:id="0"/>
    </w:p>
    <w:p w:rsidR="008D171A" w:rsidRPr="00661E25" w:rsidRDefault="008D171A" w:rsidP="00661E25">
      <w:pPr>
        <w:shd w:val="clear" w:color="auto" w:fill="FFFFFF"/>
        <w:spacing w:after="0" w:line="320" w:lineRule="exact"/>
        <w:rPr>
          <w:rFonts w:ascii="Times New Roman" w:hAnsi="Times New Roman"/>
          <w:sz w:val="24"/>
          <w:szCs w:val="24"/>
          <w:lang w:eastAsia="en-AU"/>
        </w:rPr>
      </w:pPr>
      <w:r w:rsidRPr="00661E25">
        <w:rPr>
          <w:rFonts w:ascii="Times New Roman" w:hAnsi="Times New Roman"/>
          <w:sz w:val="24"/>
          <w:szCs w:val="24"/>
          <w:lang w:eastAsia="en-AU"/>
        </w:rPr>
        <w:t> </w:t>
      </w:r>
    </w:p>
    <w:p w:rsidR="008D171A" w:rsidRPr="00661E25" w:rsidRDefault="008D171A" w:rsidP="00661E25">
      <w:pPr>
        <w:spacing w:after="0" w:line="320" w:lineRule="exact"/>
        <w:rPr>
          <w:rFonts w:ascii="Times New Roman" w:hAnsi="Times New Roman"/>
          <w:sz w:val="24"/>
          <w:szCs w:val="24"/>
        </w:rPr>
      </w:pPr>
    </w:p>
    <w:sectPr w:rsidR="008D171A" w:rsidRPr="00661E25" w:rsidSect="002763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4CE2" w:rsidRDefault="00BE4CE2" w:rsidP="00647A64">
      <w:pPr>
        <w:spacing w:after="0" w:line="240" w:lineRule="auto"/>
      </w:pPr>
      <w:r>
        <w:separator/>
      </w:r>
    </w:p>
  </w:endnote>
  <w:endnote w:type="continuationSeparator" w:id="0">
    <w:p w:rsidR="00BE4CE2" w:rsidRDefault="00BE4CE2" w:rsidP="00647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4CE2" w:rsidRDefault="00BE4CE2" w:rsidP="00647A64">
      <w:pPr>
        <w:spacing w:after="0" w:line="240" w:lineRule="auto"/>
      </w:pPr>
      <w:r>
        <w:separator/>
      </w:r>
    </w:p>
  </w:footnote>
  <w:footnote w:type="continuationSeparator" w:id="0">
    <w:p w:rsidR="00BE4CE2" w:rsidRDefault="00BE4CE2" w:rsidP="00647A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490"/>
    <w:rsid w:val="001C7C51"/>
    <w:rsid w:val="001E40C4"/>
    <w:rsid w:val="002763DB"/>
    <w:rsid w:val="00282C2E"/>
    <w:rsid w:val="002B533E"/>
    <w:rsid w:val="00314D92"/>
    <w:rsid w:val="00371490"/>
    <w:rsid w:val="005C7D9C"/>
    <w:rsid w:val="00647A64"/>
    <w:rsid w:val="00661E25"/>
    <w:rsid w:val="00742BF7"/>
    <w:rsid w:val="007D6884"/>
    <w:rsid w:val="008B533D"/>
    <w:rsid w:val="008D171A"/>
    <w:rsid w:val="008F007F"/>
    <w:rsid w:val="00904477"/>
    <w:rsid w:val="009E7F82"/>
    <w:rsid w:val="00B1444E"/>
    <w:rsid w:val="00B6774A"/>
    <w:rsid w:val="00B85FF2"/>
    <w:rsid w:val="00B963B4"/>
    <w:rsid w:val="00BE4CE2"/>
    <w:rsid w:val="00BE56E7"/>
    <w:rsid w:val="00CB6B5F"/>
    <w:rsid w:val="00CD193B"/>
    <w:rsid w:val="00D873F7"/>
    <w:rsid w:val="00DB1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27243BC-0008-47FD-BD2B-5D9C7EA7B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4754E5"/>
    <w:rPr>
      <w:rFonts w:ascii="Times New Roman" w:hAnsi="Times New Roman"/>
      <w:sz w:val="18"/>
      <w:szCs w:val="18"/>
      <w:lang w:val="en-AU"/>
    </w:rPr>
  </w:style>
  <w:style w:type="character" w:customStyle="1" w:styleId="apple-converted-space">
    <w:name w:val="apple-converted-space"/>
    <w:basedOn w:val="DefaultParagraphFont"/>
    <w:uiPriority w:val="99"/>
    <w:rsid w:val="00371490"/>
    <w:rPr>
      <w:rFonts w:cs="Times New Roman"/>
    </w:rPr>
  </w:style>
  <w:style w:type="paragraph" w:styleId="NormalWeb">
    <w:name w:val="Normal (Web)"/>
    <w:basedOn w:val="Normal"/>
    <w:uiPriority w:val="99"/>
    <w:semiHidden/>
    <w:rsid w:val="00371490"/>
    <w:pPr>
      <w:spacing w:before="100" w:beforeAutospacing="1" w:after="100" w:afterAutospacing="1" w:line="240" w:lineRule="auto"/>
    </w:pPr>
    <w:rPr>
      <w:rFonts w:ascii="Times New Roman" w:eastAsia="Times New Roman" w:hAnsi="Times New Roman"/>
      <w:sz w:val="24"/>
      <w:szCs w:val="24"/>
      <w:lang w:eastAsia="en-AU"/>
    </w:rPr>
  </w:style>
  <w:style w:type="character" w:styleId="Hyperlink">
    <w:name w:val="Hyperlink"/>
    <w:basedOn w:val="DefaultParagraphFont"/>
    <w:uiPriority w:val="99"/>
    <w:rsid w:val="00647A64"/>
    <w:rPr>
      <w:rFonts w:cs="Times New Roman"/>
      <w:color w:val="0000FF"/>
      <w:u w:val="single"/>
    </w:rPr>
  </w:style>
  <w:style w:type="paragraph" w:styleId="FootnoteText">
    <w:name w:val="footnote text"/>
    <w:basedOn w:val="Normal"/>
    <w:link w:val="FootnoteTextChar"/>
    <w:uiPriority w:val="99"/>
    <w:semiHidden/>
    <w:rsid w:val="00647A64"/>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647A64"/>
    <w:rPr>
      <w:sz w:val="20"/>
    </w:rPr>
  </w:style>
  <w:style w:type="character" w:styleId="FootnoteReference">
    <w:name w:val="footnote reference"/>
    <w:basedOn w:val="DefaultParagraphFont"/>
    <w:uiPriority w:val="99"/>
    <w:semiHidden/>
    <w:rsid w:val="00647A64"/>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724293">
      <w:marLeft w:val="0"/>
      <w:marRight w:val="0"/>
      <w:marTop w:val="0"/>
      <w:marBottom w:val="0"/>
      <w:divBdr>
        <w:top w:val="none" w:sz="0" w:space="0" w:color="auto"/>
        <w:left w:val="none" w:sz="0" w:space="0" w:color="auto"/>
        <w:bottom w:val="none" w:sz="0" w:space="0" w:color="auto"/>
        <w:right w:val="none" w:sz="0" w:space="0" w:color="auto"/>
      </w:divBdr>
      <w:divsChild>
        <w:div w:id="225724294">
          <w:marLeft w:val="0"/>
          <w:marRight w:val="0"/>
          <w:marTop w:val="48"/>
          <w:marBottom w:val="0"/>
          <w:divBdr>
            <w:top w:val="none" w:sz="0" w:space="0" w:color="auto"/>
            <w:left w:val="none" w:sz="0" w:space="0" w:color="auto"/>
            <w:bottom w:val="none" w:sz="0" w:space="0" w:color="auto"/>
            <w:right w:val="none" w:sz="0" w:space="0" w:color="auto"/>
          </w:divBdr>
        </w:div>
        <w:div w:id="225724295">
          <w:marLeft w:val="0"/>
          <w:marRight w:val="0"/>
          <w:marTop w:val="0"/>
          <w:marBottom w:val="0"/>
          <w:divBdr>
            <w:top w:val="none" w:sz="0" w:space="0" w:color="auto"/>
            <w:left w:val="none" w:sz="0" w:space="0" w:color="auto"/>
            <w:bottom w:val="none" w:sz="0" w:space="0" w:color="auto"/>
            <w:right w:val="none" w:sz="0" w:space="0" w:color="auto"/>
          </w:divBdr>
          <w:divsChild>
            <w:div w:id="225724292">
              <w:marLeft w:val="0"/>
              <w:marRight w:val="0"/>
              <w:marTop w:val="0"/>
              <w:marBottom w:val="0"/>
              <w:divBdr>
                <w:top w:val="none" w:sz="0" w:space="0" w:color="auto"/>
                <w:left w:val="none" w:sz="0" w:space="0" w:color="auto"/>
                <w:bottom w:val="none" w:sz="0" w:space="0" w:color="auto"/>
                <w:right w:val="none" w:sz="0" w:space="0" w:color="auto"/>
              </w:divBdr>
              <w:divsChild>
                <w:div w:id="22572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854</Words>
  <Characters>4872</Characters>
  <Application>Microsoft Office Word</Application>
  <DocSecurity>0</DocSecurity>
  <Lines>40</Lines>
  <Paragraphs>11</Paragraphs>
  <ScaleCrop>false</ScaleCrop>
  <Company/>
  <LinksUpToDate>false</LinksUpToDate>
  <CharactersWithSpaces>5715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
  <cp:lastModifiedBy>Bob2</cp:lastModifiedBy>
  <cp:revision>3</cp:revision>
  <cp:lastPrinted>2015-04-14T13:24:00Z</cp:lastPrinted>
  <dcterms:created xsi:type="dcterms:W3CDTF">2015-04-20T02:38:00Z</dcterms:created>
  <dcterms:modified xsi:type="dcterms:W3CDTF">2015-05-03T19:13:00Z</dcterms:modified>
</cp:coreProperties>
</file>