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06A" w:rsidRPr="00DA606A" w:rsidRDefault="00DA606A" w:rsidP="00DA606A">
      <w:pPr>
        <w:pStyle w:val="ListParagraph"/>
        <w:widowControl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TURNER-JENSEN — Cusp</w:t>
      </w:r>
    </w:p>
    <w:p w:rsidR="00DA606A" w:rsidRDefault="00DA606A" w:rsidP="00DA606A">
      <w:pPr>
        <w:pStyle w:val="ListParagraph"/>
        <w:widowControl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&lt;1 figure&gt;</w:t>
      </w:r>
    </w:p>
    <w:p w:rsidR="00DA606A" w:rsidRDefault="00DA606A" w:rsidP="00DA606A">
      <w:pPr>
        <w:pStyle w:val="ListParagraph"/>
        <w:widowControl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A1218" w:rsidRPr="00324BED" w:rsidRDefault="000A1218" w:rsidP="00DA606A">
      <w:pPr>
        <w:pStyle w:val="ListParagraph"/>
        <w:widowControl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324BED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DA606A">
        <w:rPr>
          <w:rFonts w:ascii="Times New Roman" w:hAnsi="Times New Roman" w:cs="Times New Roman"/>
          <w:b/>
          <w:sz w:val="24"/>
          <w:szCs w:val="24"/>
        </w:rPr>
        <w:t>C</w:t>
      </w:r>
      <w:r w:rsidRPr="00324BED">
        <w:rPr>
          <w:rFonts w:ascii="Times New Roman" w:hAnsi="Times New Roman" w:cs="Times New Roman"/>
          <w:b/>
          <w:sz w:val="24"/>
          <w:szCs w:val="24"/>
        </w:rPr>
        <w:t xml:space="preserve">usp of </w:t>
      </w:r>
      <w:r w:rsidR="00DA606A">
        <w:rPr>
          <w:rFonts w:ascii="Times New Roman" w:hAnsi="Times New Roman" w:cs="Times New Roman"/>
          <w:b/>
          <w:sz w:val="24"/>
          <w:szCs w:val="24"/>
        </w:rPr>
        <w:t>C</w:t>
      </w:r>
      <w:r w:rsidRPr="00324BED">
        <w:rPr>
          <w:rFonts w:ascii="Times New Roman" w:hAnsi="Times New Roman" w:cs="Times New Roman"/>
          <w:b/>
          <w:sz w:val="24"/>
          <w:szCs w:val="24"/>
        </w:rPr>
        <w:t>hange</w:t>
      </w:r>
      <w:r w:rsidR="00DA606A">
        <w:rPr>
          <w:rFonts w:ascii="Times New Roman" w:hAnsi="Times New Roman" w:cs="Times New Roman"/>
          <w:b/>
          <w:sz w:val="24"/>
          <w:szCs w:val="24"/>
        </w:rPr>
        <w:t>:</w:t>
      </w:r>
      <w:r w:rsidRPr="00324BED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DA606A">
        <w:rPr>
          <w:rFonts w:ascii="Times New Roman" w:hAnsi="Times New Roman" w:cs="Times New Roman"/>
          <w:b/>
          <w:sz w:val="24"/>
          <w:szCs w:val="24"/>
        </w:rPr>
        <w:t>C</w:t>
      </w:r>
      <w:r w:rsidRPr="00324BED">
        <w:rPr>
          <w:rFonts w:ascii="Times New Roman" w:hAnsi="Times New Roman" w:cs="Times New Roman"/>
          <w:b/>
          <w:sz w:val="24"/>
          <w:szCs w:val="24"/>
        </w:rPr>
        <w:t xml:space="preserve">ulturally </w:t>
      </w:r>
      <w:r w:rsidR="00DA606A">
        <w:rPr>
          <w:rFonts w:ascii="Times New Roman" w:hAnsi="Times New Roman" w:cs="Times New Roman"/>
          <w:b/>
          <w:sz w:val="24"/>
          <w:szCs w:val="24"/>
        </w:rPr>
        <w:t>S</w:t>
      </w:r>
      <w:r w:rsidRPr="00324BED">
        <w:rPr>
          <w:rFonts w:ascii="Times New Roman" w:hAnsi="Times New Roman" w:cs="Times New Roman"/>
          <w:b/>
          <w:sz w:val="24"/>
          <w:szCs w:val="24"/>
        </w:rPr>
        <w:t xml:space="preserve">afe </w:t>
      </w:r>
      <w:r w:rsidR="00DA606A">
        <w:rPr>
          <w:rFonts w:ascii="Times New Roman" w:hAnsi="Times New Roman" w:cs="Times New Roman"/>
          <w:b/>
          <w:sz w:val="24"/>
          <w:szCs w:val="24"/>
        </w:rPr>
        <w:t>E</w:t>
      </w:r>
      <w:r w:rsidRPr="00324BED">
        <w:rPr>
          <w:rFonts w:ascii="Times New Roman" w:hAnsi="Times New Roman" w:cs="Times New Roman"/>
          <w:b/>
          <w:sz w:val="24"/>
          <w:szCs w:val="24"/>
        </w:rPr>
        <w:t xml:space="preserve">-Learning </w:t>
      </w:r>
      <w:r w:rsidR="00DA606A">
        <w:rPr>
          <w:rFonts w:ascii="Times New Roman" w:hAnsi="Times New Roman" w:cs="Times New Roman"/>
          <w:b/>
          <w:sz w:val="24"/>
          <w:szCs w:val="24"/>
        </w:rPr>
        <w:t>P</w:t>
      </w:r>
      <w:r w:rsidRPr="00324BED">
        <w:rPr>
          <w:rFonts w:ascii="Times New Roman" w:hAnsi="Times New Roman" w:cs="Times New Roman"/>
          <w:b/>
          <w:sz w:val="24"/>
          <w:szCs w:val="24"/>
        </w:rPr>
        <w:t xml:space="preserve">latform on Ancient Australia </w:t>
      </w:r>
    </w:p>
    <w:p w:rsidR="00F00F30" w:rsidRDefault="002A1683" w:rsidP="00DA606A">
      <w:pPr>
        <w:widowControl w:val="0"/>
        <w:rPr>
          <w:rFonts w:eastAsia="Malgun Gothic"/>
          <w:lang w:eastAsia="ko-KR"/>
        </w:rPr>
      </w:pPr>
      <w:r w:rsidRPr="00324BED">
        <w:rPr>
          <w:rFonts w:eastAsia="Malgun Gothic"/>
          <w:lang w:eastAsia="ko-KR"/>
        </w:rPr>
        <w:t>Turner-Jensen</w:t>
      </w:r>
      <w:r w:rsidR="00DA606A">
        <w:rPr>
          <w:rFonts w:eastAsia="Malgun Gothic"/>
          <w:lang w:eastAsia="ko-KR"/>
        </w:rPr>
        <w:t xml:space="preserve">, N. and </w:t>
      </w:r>
      <w:r w:rsidRPr="00324BED">
        <w:rPr>
          <w:rFonts w:eastAsia="Malgun Gothic"/>
          <w:lang w:eastAsia="ko-KR"/>
        </w:rPr>
        <w:t>Latcham</w:t>
      </w:r>
      <w:r w:rsidR="00DA606A">
        <w:rPr>
          <w:rFonts w:eastAsia="Malgun Gothic"/>
          <w:lang w:eastAsia="ko-KR"/>
        </w:rPr>
        <w:t>, J.</w:t>
      </w:r>
    </w:p>
    <w:p w:rsidR="000A1218" w:rsidRPr="00324BED" w:rsidRDefault="000A1218" w:rsidP="00DA606A">
      <w:pPr>
        <w:widowControl w:val="0"/>
        <w:rPr>
          <w:rFonts w:eastAsia="Malgun Gothic"/>
          <w:lang w:eastAsia="ko-KR"/>
        </w:rPr>
      </w:pPr>
    </w:p>
    <w:p w:rsidR="00AA23D3" w:rsidRPr="00324BED" w:rsidRDefault="00AA23D3" w:rsidP="00DA606A">
      <w:pPr>
        <w:widowControl w:val="0"/>
        <w:rPr>
          <w:rFonts w:eastAsia="Malgun Gothic"/>
          <w:b/>
          <w:lang w:eastAsia="ko-KR"/>
        </w:rPr>
      </w:pPr>
    </w:p>
    <w:p w:rsidR="00AA23D3" w:rsidRPr="00324BED" w:rsidRDefault="00AA23D3" w:rsidP="00DA606A">
      <w:pPr>
        <w:pStyle w:val="Heading2"/>
        <w:widowControl w:val="0"/>
        <w:tabs>
          <w:tab w:val="left" w:pos="812"/>
        </w:tabs>
        <w:spacing w:before="0" w:beforeAutospacing="0" w:after="0" w:afterAutospacing="0"/>
        <w:rPr>
          <w:sz w:val="24"/>
          <w:szCs w:val="24"/>
        </w:rPr>
      </w:pPr>
      <w:r w:rsidRPr="00324BED">
        <w:rPr>
          <w:sz w:val="24"/>
          <w:szCs w:val="24"/>
        </w:rPr>
        <w:t xml:space="preserve">What </w:t>
      </w:r>
      <w:r w:rsidR="00DA606A">
        <w:rPr>
          <w:sz w:val="24"/>
          <w:szCs w:val="24"/>
        </w:rPr>
        <w:t>I</w:t>
      </w:r>
      <w:r w:rsidRPr="00324BED">
        <w:rPr>
          <w:sz w:val="24"/>
          <w:szCs w:val="24"/>
        </w:rPr>
        <w:t xml:space="preserve">s a </w:t>
      </w:r>
      <w:r w:rsidR="00DA606A">
        <w:rPr>
          <w:sz w:val="24"/>
          <w:szCs w:val="24"/>
        </w:rPr>
        <w:t>C</w:t>
      </w:r>
      <w:r w:rsidRPr="00324BED">
        <w:rPr>
          <w:sz w:val="24"/>
          <w:szCs w:val="24"/>
        </w:rPr>
        <w:t xml:space="preserve">ulturally </w:t>
      </w:r>
      <w:r w:rsidR="00DA606A">
        <w:rPr>
          <w:sz w:val="24"/>
          <w:szCs w:val="24"/>
        </w:rPr>
        <w:t>S</w:t>
      </w:r>
      <w:r w:rsidRPr="00324BED">
        <w:rPr>
          <w:sz w:val="24"/>
          <w:szCs w:val="24"/>
        </w:rPr>
        <w:t xml:space="preserve">afe </w:t>
      </w:r>
      <w:r w:rsidR="00DA606A">
        <w:rPr>
          <w:sz w:val="24"/>
          <w:szCs w:val="24"/>
        </w:rPr>
        <w:t>E</w:t>
      </w:r>
      <w:r w:rsidR="00EB0704" w:rsidRPr="00324BED">
        <w:rPr>
          <w:sz w:val="24"/>
          <w:szCs w:val="24"/>
        </w:rPr>
        <w:t>-Learning Platform</w:t>
      </w:r>
      <w:r w:rsidRPr="00324BED">
        <w:rPr>
          <w:sz w:val="24"/>
          <w:szCs w:val="24"/>
        </w:rPr>
        <w:t xml:space="preserve">? </w:t>
      </w:r>
    </w:p>
    <w:p w:rsidR="00AA23D3" w:rsidRPr="008C00C1" w:rsidRDefault="00AA23D3" w:rsidP="00DA606A">
      <w:pPr>
        <w:widowControl w:val="0"/>
        <w:rPr>
          <w:rFonts w:eastAsia="Malgun Gothic"/>
        </w:rPr>
      </w:pPr>
      <w:r w:rsidRPr="008C00C1">
        <w:rPr>
          <w:rFonts w:eastAsia="Malgun Gothic"/>
        </w:rPr>
        <w:t xml:space="preserve">A conceptual framework based on Aboriginal and Torres Strait Islander </w:t>
      </w:r>
      <w:r w:rsidR="00B017F3">
        <w:rPr>
          <w:rFonts w:eastAsia="Malgun Gothic"/>
        </w:rPr>
        <w:t>p</w:t>
      </w:r>
      <w:r w:rsidRPr="008C00C1">
        <w:rPr>
          <w:rFonts w:eastAsia="Malgun Gothic"/>
        </w:rPr>
        <w:t xml:space="preserve">eoples’ unique sense of </w:t>
      </w:r>
      <w:r w:rsidR="00B017F3">
        <w:rPr>
          <w:rFonts w:eastAsia="Malgun Gothic"/>
        </w:rPr>
        <w:t>i</w:t>
      </w:r>
      <w:r w:rsidRPr="008C00C1">
        <w:rPr>
          <w:rFonts w:eastAsia="Malgun Gothic"/>
        </w:rPr>
        <w:t>dentity has been developed as a structural tool for the embedding of Aboriginal and Torres Strait Islander histories and cultures within the school</w:t>
      </w:r>
      <w:r w:rsidR="00BA3F77" w:rsidRPr="008C00C1">
        <w:rPr>
          <w:rFonts w:eastAsia="Malgun Gothic"/>
        </w:rPr>
        <w:t>s</w:t>
      </w:r>
      <w:r w:rsidRPr="008C00C1">
        <w:rPr>
          <w:rFonts w:eastAsia="Malgun Gothic"/>
        </w:rPr>
        <w:t xml:space="preserve"> </w:t>
      </w:r>
      <w:r w:rsidR="00B017F3">
        <w:rPr>
          <w:rFonts w:eastAsia="Malgun Gothic"/>
        </w:rPr>
        <w:t>and</w:t>
      </w:r>
      <w:r w:rsidRPr="008C00C1">
        <w:rPr>
          <w:rFonts w:eastAsia="Malgun Gothic"/>
        </w:rPr>
        <w:t xml:space="preserve"> workplace settings</w:t>
      </w:r>
      <w:r w:rsidR="006504E8" w:rsidRPr="008C00C1">
        <w:rPr>
          <w:rFonts w:eastAsia="Malgun Gothic"/>
        </w:rPr>
        <w:t xml:space="preserve"> </w:t>
      </w:r>
      <w:r w:rsidR="00B017F3">
        <w:rPr>
          <w:rFonts w:eastAsia="Malgun Gothic"/>
        </w:rPr>
        <w:t>o</w:t>
      </w:r>
      <w:r w:rsidR="006504E8" w:rsidRPr="008C00C1">
        <w:rPr>
          <w:rFonts w:eastAsia="Malgun Gothic"/>
        </w:rPr>
        <w:t>f Australia</w:t>
      </w:r>
      <w:r w:rsidRPr="008C00C1">
        <w:rPr>
          <w:rFonts w:eastAsia="Malgun Gothic"/>
        </w:rPr>
        <w:t xml:space="preserve">. This sense of </w:t>
      </w:r>
      <w:r w:rsidR="00B017F3">
        <w:rPr>
          <w:rFonts w:eastAsia="Malgun Gothic"/>
        </w:rPr>
        <w:t>i</w:t>
      </w:r>
      <w:r w:rsidRPr="008C00C1">
        <w:rPr>
          <w:rFonts w:eastAsia="Malgun Gothic"/>
        </w:rPr>
        <w:t xml:space="preserve">dentity is approached through the interconnected aspects of </w:t>
      </w:r>
      <w:r w:rsidR="00B017F3">
        <w:rPr>
          <w:rFonts w:eastAsia="Malgun Gothic"/>
        </w:rPr>
        <w:t>c</w:t>
      </w:r>
      <w:r w:rsidRPr="008C00C1">
        <w:rPr>
          <w:rFonts w:eastAsia="Malgun Gothic"/>
        </w:rPr>
        <w:t>ountry/</w:t>
      </w:r>
      <w:r w:rsidR="00B017F3">
        <w:rPr>
          <w:rFonts w:eastAsia="Malgun Gothic"/>
        </w:rPr>
        <w:t>p</w:t>
      </w:r>
      <w:r w:rsidRPr="008C00C1">
        <w:rPr>
          <w:rFonts w:eastAsia="Malgun Gothic"/>
        </w:rPr>
        <w:t xml:space="preserve">lace, </w:t>
      </w:r>
      <w:r w:rsidR="00B017F3">
        <w:rPr>
          <w:rFonts w:eastAsia="Malgun Gothic"/>
        </w:rPr>
        <w:t>p</w:t>
      </w:r>
      <w:r w:rsidRPr="008C00C1">
        <w:rPr>
          <w:rFonts w:eastAsia="Malgun Gothic"/>
        </w:rPr>
        <w:t>eople</w:t>
      </w:r>
      <w:r w:rsidR="00B017F3">
        <w:rPr>
          <w:rFonts w:eastAsia="Malgun Gothic"/>
        </w:rPr>
        <w:t>,</w:t>
      </w:r>
      <w:r w:rsidRPr="008C00C1">
        <w:rPr>
          <w:rFonts w:eastAsia="Malgun Gothic"/>
        </w:rPr>
        <w:t xml:space="preserve"> </w:t>
      </w:r>
      <w:r w:rsidR="00B017F3">
        <w:rPr>
          <w:rFonts w:eastAsia="Malgun Gothic"/>
        </w:rPr>
        <w:t>c</w:t>
      </w:r>
      <w:r w:rsidRPr="008C00C1">
        <w:rPr>
          <w:rFonts w:eastAsia="Malgun Gothic"/>
        </w:rPr>
        <w:t>ulture</w:t>
      </w:r>
      <w:r w:rsidR="00B017F3">
        <w:rPr>
          <w:rFonts w:eastAsia="Malgun Gothic"/>
        </w:rPr>
        <w:t>,</w:t>
      </w:r>
      <w:r w:rsidRPr="008C00C1">
        <w:rPr>
          <w:rFonts w:eastAsia="Malgun Gothic"/>
        </w:rPr>
        <w:t xml:space="preserve"> </w:t>
      </w:r>
      <w:r w:rsidR="00B017F3">
        <w:rPr>
          <w:rFonts w:eastAsia="Malgun Gothic"/>
        </w:rPr>
        <w:t>and</w:t>
      </w:r>
      <w:r w:rsidRPr="008C00C1">
        <w:rPr>
          <w:rFonts w:eastAsia="Malgun Gothic"/>
        </w:rPr>
        <w:t xml:space="preserve"> learnt generational knowledge. Embracing these elements enhances all areas of a young person’s spirituality, thus ensuring pride and a sense of connection with their culture</w:t>
      </w:r>
      <w:r w:rsidR="00EB0704" w:rsidRPr="008C00C1">
        <w:rPr>
          <w:rFonts w:eastAsia="Malgun Gothic"/>
        </w:rPr>
        <w:t>, local history</w:t>
      </w:r>
      <w:r w:rsidR="00B017F3">
        <w:rPr>
          <w:rFonts w:eastAsia="Malgun Gothic"/>
        </w:rPr>
        <w:t>,</w:t>
      </w:r>
      <w:r w:rsidRPr="008C00C1">
        <w:rPr>
          <w:rFonts w:eastAsia="Malgun Gothic"/>
        </w:rPr>
        <w:t xml:space="preserve"> and traditions. </w:t>
      </w:r>
    </w:p>
    <w:p w:rsidR="00AA23D3" w:rsidRPr="008C00C1" w:rsidRDefault="00AA23D3" w:rsidP="008C00C1">
      <w:pPr>
        <w:widowControl w:val="0"/>
        <w:ind w:firstLine="720"/>
        <w:rPr>
          <w:rFonts w:eastAsia="Malgun Gothic"/>
        </w:rPr>
      </w:pPr>
      <w:r w:rsidRPr="008C00C1">
        <w:rPr>
          <w:rFonts w:eastAsia="Malgun Gothic"/>
        </w:rPr>
        <w:t>Aboriginal and Torres Strait Islander communities can again become strong, rich</w:t>
      </w:r>
      <w:r w:rsidR="00B017F3">
        <w:rPr>
          <w:rFonts w:eastAsia="Malgun Gothic"/>
        </w:rPr>
        <w:t>,</w:t>
      </w:r>
      <w:r w:rsidRPr="008C00C1">
        <w:rPr>
          <w:rFonts w:eastAsia="Malgun Gothic"/>
        </w:rPr>
        <w:t xml:space="preserve"> and diverse. Aboriginal and Torres Strait Islander</w:t>
      </w:r>
      <w:r w:rsidR="00EB0704" w:rsidRPr="008C00C1">
        <w:rPr>
          <w:rFonts w:eastAsia="Malgun Gothic"/>
        </w:rPr>
        <w:t xml:space="preserve"> and Australian people</w:t>
      </w:r>
      <w:r w:rsidR="00B017F3">
        <w:rPr>
          <w:rFonts w:eastAsia="Malgun Gothic"/>
        </w:rPr>
        <w:t>s’</w:t>
      </w:r>
      <w:r w:rsidRPr="008C00C1">
        <w:rPr>
          <w:rFonts w:eastAsia="Malgun Gothic"/>
        </w:rPr>
        <w:t xml:space="preserve"> </w:t>
      </w:r>
      <w:r w:rsidR="00B017F3">
        <w:rPr>
          <w:rFonts w:eastAsia="Malgun Gothic"/>
        </w:rPr>
        <w:t>i</w:t>
      </w:r>
      <w:r w:rsidRPr="008C00C1">
        <w:rPr>
          <w:rFonts w:eastAsia="Malgun Gothic"/>
        </w:rPr>
        <w:t xml:space="preserve">dentity is central to this priority and is intrinsically linked to living, learning </w:t>
      </w:r>
      <w:r w:rsidR="00EB0704" w:rsidRPr="008C00C1">
        <w:rPr>
          <w:rFonts w:eastAsia="Malgun Gothic"/>
        </w:rPr>
        <w:t xml:space="preserve">about their local </w:t>
      </w:r>
      <w:r w:rsidRPr="008C00C1">
        <w:rPr>
          <w:rFonts w:eastAsia="Malgun Gothic"/>
        </w:rPr>
        <w:t xml:space="preserve">Aboriginal and Torres Strait Islander </w:t>
      </w:r>
      <w:r w:rsidR="00C76EF8" w:rsidRPr="008C00C1">
        <w:rPr>
          <w:rFonts w:eastAsia="Malgun Gothic"/>
        </w:rPr>
        <w:t>communities’ history</w:t>
      </w:r>
      <w:r w:rsidRPr="008C00C1">
        <w:rPr>
          <w:rFonts w:eastAsia="Malgun Gothic"/>
        </w:rPr>
        <w:t>, deep knowledge traditions</w:t>
      </w:r>
      <w:r w:rsidR="00B017F3">
        <w:rPr>
          <w:rFonts w:eastAsia="Malgun Gothic"/>
        </w:rPr>
        <w:t>,</w:t>
      </w:r>
      <w:r w:rsidRPr="008C00C1">
        <w:rPr>
          <w:rFonts w:eastAsia="Malgun Gothic"/>
        </w:rPr>
        <w:t xml:space="preserve"> and </w:t>
      </w:r>
      <w:r w:rsidR="00C76EF8" w:rsidRPr="008C00C1">
        <w:rPr>
          <w:rFonts w:eastAsia="Malgun Gothic"/>
        </w:rPr>
        <w:t>general expertise with regards to the flora, fauna</w:t>
      </w:r>
      <w:r w:rsidR="00B017F3">
        <w:rPr>
          <w:rFonts w:eastAsia="Malgun Gothic"/>
        </w:rPr>
        <w:t>,</w:t>
      </w:r>
      <w:r w:rsidR="00C76EF8" w:rsidRPr="008C00C1">
        <w:rPr>
          <w:rFonts w:eastAsia="Malgun Gothic"/>
        </w:rPr>
        <w:t xml:space="preserve"> and landscapes where we live</w:t>
      </w:r>
      <w:r w:rsidRPr="008C00C1">
        <w:rPr>
          <w:rFonts w:eastAsia="Malgun Gothic"/>
        </w:rPr>
        <w:t xml:space="preserve">. </w:t>
      </w:r>
    </w:p>
    <w:p w:rsidR="00DA606A" w:rsidRPr="00324BED" w:rsidRDefault="00DA606A" w:rsidP="00DA606A">
      <w:pPr>
        <w:widowControl w:val="0"/>
        <w:rPr>
          <w:rFonts w:eastAsia="Malgun Gothic"/>
          <w:i/>
        </w:rPr>
      </w:pPr>
    </w:p>
    <w:p w:rsidR="000A1218" w:rsidRPr="00324BED" w:rsidRDefault="00982827" w:rsidP="00DA606A">
      <w:pPr>
        <w:widowControl w:val="0"/>
        <w:rPr>
          <w:rFonts w:eastAsia="Malgun Gothic"/>
          <w:b/>
          <w:lang w:eastAsia="ko-KR"/>
        </w:rPr>
      </w:pPr>
      <w:r w:rsidRPr="00324BED">
        <w:rPr>
          <w:rFonts w:eastAsia="Malgun Gothic"/>
          <w:b/>
          <w:lang w:eastAsia="ko-KR"/>
        </w:rPr>
        <w:t>W</w:t>
      </w:r>
      <w:r w:rsidR="000A1218" w:rsidRPr="00324BED">
        <w:rPr>
          <w:rFonts w:eastAsia="Malgun Gothic"/>
          <w:b/>
          <w:lang w:eastAsia="ko-KR"/>
        </w:rPr>
        <w:t xml:space="preserve">hy </w:t>
      </w:r>
      <w:r w:rsidR="00B017F3">
        <w:rPr>
          <w:rFonts w:eastAsia="Malgun Gothic"/>
          <w:b/>
          <w:lang w:eastAsia="ko-KR"/>
        </w:rPr>
        <w:t>L</w:t>
      </w:r>
      <w:r w:rsidR="000A1218" w:rsidRPr="00324BED">
        <w:rPr>
          <w:rFonts w:eastAsia="Malgun Gothic"/>
          <w:b/>
          <w:lang w:eastAsia="ko-KR"/>
        </w:rPr>
        <w:t xml:space="preserve">earn </w:t>
      </w:r>
      <w:r w:rsidR="00B017F3">
        <w:rPr>
          <w:rFonts w:eastAsia="Malgun Gothic"/>
          <w:b/>
          <w:lang w:eastAsia="ko-KR"/>
        </w:rPr>
        <w:t>O</w:t>
      </w:r>
      <w:r w:rsidR="00EB0704" w:rsidRPr="00324BED">
        <w:rPr>
          <w:rFonts w:eastAsia="Malgun Gothic"/>
          <w:b/>
          <w:lang w:eastAsia="ko-KR"/>
        </w:rPr>
        <w:t xml:space="preserve">nly </w:t>
      </w:r>
      <w:r w:rsidR="000A1218" w:rsidRPr="00324BED">
        <w:rPr>
          <w:rFonts w:eastAsia="Malgun Gothic"/>
          <w:b/>
          <w:lang w:eastAsia="ko-KR"/>
        </w:rPr>
        <w:t>about Ancient Australia?</w:t>
      </w:r>
    </w:p>
    <w:p w:rsidR="00982827" w:rsidRPr="00324BED" w:rsidRDefault="00C76EF8" w:rsidP="00DA606A">
      <w:pPr>
        <w:widowControl w:val="0"/>
        <w:rPr>
          <w:rFonts w:eastAsia="Malgun Gothic"/>
          <w:lang w:eastAsia="ko-KR"/>
        </w:rPr>
      </w:pPr>
      <w:r w:rsidRPr="00324BED">
        <w:rPr>
          <w:rFonts w:eastAsia="Malgun Gothic"/>
          <w:lang w:eastAsia="ko-KR"/>
        </w:rPr>
        <w:t>A</w:t>
      </w:r>
      <w:r w:rsidR="006504E8" w:rsidRPr="00324BED">
        <w:rPr>
          <w:rFonts w:eastAsia="Malgun Gothic"/>
          <w:lang w:eastAsia="ko-KR"/>
        </w:rPr>
        <w:t>fter</w:t>
      </w:r>
      <w:r w:rsidR="00982827" w:rsidRPr="00324BED">
        <w:rPr>
          <w:rFonts w:eastAsia="Malgun Gothic"/>
          <w:lang w:eastAsia="ko-KR"/>
        </w:rPr>
        <w:t xml:space="preserve"> four years of focus group and market research</w:t>
      </w:r>
      <w:r w:rsidR="00CD2FF5" w:rsidRPr="00324BED">
        <w:rPr>
          <w:rFonts w:eastAsia="Malgun Gothic"/>
          <w:lang w:eastAsia="ko-KR"/>
        </w:rPr>
        <w:t>, our team</w:t>
      </w:r>
      <w:r w:rsidR="00982827" w:rsidRPr="00324BED">
        <w:rPr>
          <w:rFonts w:eastAsia="Malgun Gothic"/>
          <w:lang w:eastAsia="ko-KR"/>
        </w:rPr>
        <w:t xml:space="preserve"> have </w:t>
      </w:r>
      <w:r w:rsidR="006504E8" w:rsidRPr="00324BED">
        <w:rPr>
          <w:rFonts w:eastAsia="Malgun Gothic"/>
          <w:lang w:eastAsia="ko-KR"/>
        </w:rPr>
        <w:t>determined</w:t>
      </w:r>
      <w:r w:rsidR="00CD2FF5" w:rsidRPr="00324BED">
        <w:rPr>
          <w:rFonts w:eastAsia="Malgun Gothic"/>
          <w:lang w:eastAsia="ko-KR"/>
        </w:rPr>
        <w:t xml:space="preserve"> that</w:t>
      </w:r>
      <w:r w:rsidR="00982827" w:rsidRPr="00324BED">
        <w:rPr>
          <w:rFonts w:eastAsia="Malgun Gothic"/>
          <w:lang w:eastAsia="ko-KR"/>
        </w:rPr>
        <w:t xml:space="preserve"> </w:t>
      </w:r>
      <w:r w:rsidR="006504E8" w:rsidRPr="00324BED">
        <w:rPr>
          <w:rFonts w:eastAsia="Malgun Gothic"/>
          <w:lang w:eastAsia="ko-KR"/>
        </w:rPr>
        <w:t>some astounding</w:t>
      </w:r>
      <w:r w:rsidR="00BE7EC2" w:rsidRPr="00324BED">
        <w:rPr>
          <w:rFonts w:eastAsia="Malgun Gothic"/>
          <w:lang w:eastAsia="ko-KR"/>
        </w:rPr>
        <w:t xml:space="preserve"> outcomes can occur</w:t>
      </w:r>
      <w:r w:rsidR="00982827" w:rsidRPr="00324BED">
        <w:rPr>
          <w:rFonts w:eastAsia="Malgun Gothic"/>
          <w:lang w:eastAsia="ko-KR"/>
        </w:rPr>
        <w:t xml:space="preserve"> </w:t>
      </w:r>
      <w:r w:rsidR="00BA3F77" w:rsidRPr="00324BED">
        <w:rPr>
          <w:rFonts w:eastAsia="Malgun Gothic"/>
          <w:lang w:eastAsia="ko-KR"/>
        </w:rPr>
        <w:t>if</w:t>
      </w:r>
      <w:r w:rsidR="00BE7EC2" w:rsidRPr="00324BED">
        <w:rPr>
          <w:rFonts w:eastAsia="Malgun Gothic"/>
          <w:lang w:eastAsia="ko-KR"/>
        </w:rPr>
        <w:t xml:space="preserve"> </w:t>
      </w:r>
      <w:r w:rsidR="006504E8" w:rsidRPr="00324BED">
        <w:rPr>
          <w:rFonts w:eastAsia="Malgun Gothic"/>
          <w:lang w:eastAsia="ko-KR"/>
        </w:rPr>
        <w:t xml:space="preserve">all </w:t>
      </w:r>
      <w:r w:rsidR="00BE7EC2" w:rsidRPr="00324BED">
        <w:rPr>
          <w:rFonts w:eastAsia="Malgun Gothic"/>
          <w:lang w:eastAsia="ko-KR"/>
        </w:rPr>
        <w:t>education settings</w:t>
      </w:r>
      <w:r w:rsidRPr="00324BED">
        <w:rPr>
          <w:rFonts w:eastAsia="Malgun Gothic"/>
          <w:lang w:eastAsia="ko-KR"/>
        </w:rPr>
        <w:t xml:space="preserve"> simply </w:t>
      </w:r>
      <w:r w:rsidR="00BE7EC2" w:rsidRPr="00324BED">
        <w:rPr>
          <w:rFonts w:eastAsia="Malgun Gothic"/>
          <w:lang w:eastAsia="ko-KR"/>
        </w:rPr>
        <w:t>include</w:t>
      </w:r>
      <w:r w:rsidR="00982827" w:rsidRPr="00324BED">
        <w:rPr>
          <w:rFonts w:eastAsia="Malgun Gothic"/>
          <w:lang w:eastAsia="ko-KR"/>
        </w:rPr>
        <w:t xml:space="preserve"> </w:t>
      </w:r>
      <w:r w:rsidR="00B017F3">
        <w:rPr>
          <w:rFonts w:eastAsia="Malgun Gothic"/>
          <w:lang w:eastAsia="ko-KR"/>
        </w:rPr>
        <w:t>a</w:t>
      </w:r>
      <w:r w:rsidR="00982827" w:rsidRPr="00324BED">
        <w:rPr>
          <w:rFonts w:eastAsia="Malgun Gothic"/>
          <w:lang w:eastAsia="ko-KR"/>
        </w:rPr>
        <w:t xml:space="preserve">ncient Australia </w:t>
      </w:r>
      <w:r w:rsidR="00632EEF">
        <w:rPr>
          <w:rFonts w:eastAsia="Malgun Gothic"/>
          <w:lang w:eastAsia="ko-KR"/>
        </w:rPr>
        <w:t xml:space="preserve">systematically </w:t>
      </w:r>
      <w:r w:rsidR="00982827" w:rsidRPr="00324BED">
        <w:rPr>
          <w:rFonts w:eastAsia="Malgun Gothic"/>
          <w:lang w:eastAsia="ko-KR"/>
        </w:rPr>
        <w:t xml:space="preserve">within </w:t>
      </w:r>
      <w:r w:rsidR="00632EEF">
        <w:rPr>
          <w:rFonts w:eastAsia="Malgun Gothic"/>
          <w:lang w:eastAsia="ko-KR"/>
        </w:rPr>
        <w:t xml:space="preserve">their </w:t>
      </w:r>
      <w:r w:rsidR="006504E8" w:rsidRPr="00324BED">
        <w:rPr>
          <w:rFonts w:eastAsia="Malgun Gothic"/>
          <w:lang w:eastAsia="ko-KR"/>
        </w:rPr>
        <w:t>subject areas</w:t>
      </w:r>
      <w:r w:rsidR="00B017F3">
        <w:rPr>
          <w:rFonts w:eastAsia="Malgun Gothic"/>
          <w:lang w:eastAsia="ko-KR"/>
        </w:rPr>
        <w:t>:</w:t>
      </w:r>
    </w:p>
    <w:p w:rsidR="00BE7EC2" w:rsidRPr="00324BED" w:rsidRDefault="00BE7EC2" w:rsidP="00DA606A">
      <w:pPr>
        <w:widowControl w:val="0"/>
        <w:rPr>
          <w:rFonts w:eastAsia="Malgun Gothic"/>
          <w:lang w:eastAsia="ko-KR"/>
        </w:rPr>
      </w:pPr>
    </w:p>
    <w:p w:rsidR="00982827" w:rsidRPr="008C00C1" w:rsidRDefault="00B017F3" w:rsidP="008C00C1">
      <w:pPr>
        <w:widowControl w:val="0"/>
        <w:tabs>
          <w:tab w:val="left" w:pos="720"/>
        </w:tabs>
        <w:ind w:left="1080" w:hanging="1080"/>
      </w:pPr>
      <w:r>
        <w:tab/>
        <w:t>•</w:t>
      </w:r>
      <w:r>
        <w:tab/>
      </w:r>
      <w:r w:rsidR="002D2EA5" w:rsidRPr="00F00F30">
        <w:t>C</w:t>
      </w:r>
      <w:r w:rsidR="00B02320" w:rsidRPr="00F00F30">
        <w:t>reate</w:t>
      </w:r>
      <w:r w:rsidR="00350FEE" w:rsidRPr="00F00F30">
        <w:t xml:space="preserve"> economic opportunity for Aboriginal and Torres Strait Isl</w:t>
      </w:r>
      <w:r w:rsidR="00E10E20" w:rsidRPr="00F00F30">
        <w:t>ander people</w:t>
      </w:r>
      <w:r w:rsidRPr="00F00F30">
        <w:t>s</w:t>
      </w:r>
      <w:r w:rsidR="00E10E20" w:rsidRPr="00F00F30">
        <w:t xml:space="preserve"> </w:t>
      </w:r>
      <w:r w:rsidR="002D2EA5" w:rsidRPr="008C00C1">
        <w:t>across many sectors and encourage them to attend school</w:t>
      </w:r>
      <w:r w:rsidRPr="008C00C1">
        <w:t>.</w:t>
      </w:r>
    </w:p>
    <w:p w:rsidR="000A1218" w:rsidRPr="00F00F30" w:rsidRDefault="00B017F3" w:rsidP="008C00C1">
      <w:pPr>
        <w:widowControl w:val="0"/>
        <w:tabs>
          <w:tab w:val="left" w:pos="720"/>
        </w:tabs>
        <w:ind w:left="1080" w:hanging="1080"/>
      </w:pPr>
      <w:r>
        <w:tab/>
        <w:t>•</w:t>
      </w:r>
      <w:r>
        <w:tab/>
      </w:r>
      <w:r w:rsidR="002D2EA5" w:rsidRPr="00F00F30">
        <w:t>P</w:t>
      </w:r>
      <w:r w:rsidR="00B02320" w:rsidRPr="00F00F30">
        <w:t>roduce</w:t>
      </w:r>
      <w:r w:rsidR="000A1218" w:rsidRPr="00F00F30">
        <w:t xml:space="preserve"> an opportunity to achieve a strong sense of identity and deep connection to this continent of Australia for every person today and for all future generations</w:t>
      </w:r>
      <w:r w:rsidR="006504E8" w:rsidRPr="00F00F30">
        <w:t xml:space="preserve"> (something we believe </w:t>
      </w:r>
      <w:r w:rsidR="00632EEF">
        <w:t xml:space="preserve">has </w:t>
      </w:r>
      <w:r w:rsidR="00B02320" w:rsidRPr="00F00F30">
        <w:t>never</w:t>
      </w:r>
      <w:r w:rsidR="006504E8" w:rsidRPr="00F00F30">
        <w:t xml:space="preserve"> been achieved by most </w:t>
      </w:r>
      <w:r w:rsidR="00632EEF">
        <w:t>n</w:t>
      </w:r>
      <w:r w:rsidR="006504E8" w:rsidRPr="00F00F30">
        <w:t xml:space="preserve">on-Aboriginal or Torres Strait Islander Australians and is impossible without connecting with </w:t>
      </w:r>
      <w:r w:rsidR="00632EEF">
        <w:t>a</w:t>
      </w:r>
      <w:r w:rsidR="006504E8" w:rsidRPr="00F00F30">
        <w:t>ncient Australia)</w:t>
      </w:r>
      <w:r w:rsidR="00632EEF">
        <w:t>.</w:t>
      </w:r>
    </w:p>
    <w:p w:rsidR="000A1218" w:rsidRPr="00F00F30" w:rsidRDefault="00B017F3" w:rsidP="008C00C1">
      <w:pPr>
        <w:widowControl w:val="0"/>
        <w:tabs>
          <w:tab w:val="left" w:pos="720"/>
        </w:tabs>
        <w:ind w:left="1080" w:hanging="1080"/>
      </w:pPr>
      <w:r>
        <w:tab/>
        <w:t>•</w:t>
      </w:r>
      <w:r>
        <w:tab/>
      </w:r>
      <w:r w:rsidR="002D2EA5" w:rsidRPr="00F00F30">
        <w:t>F</w:t>
      </w:r>
      <w:r w:rsidR="000A1218" w:rsidRPr="00F00F30">
        <w:t xml:space="preserve">orge a new era of positivity </w:t>
      </w:r>
      <w:r w:rsidR="00632EEF">
        <w:t xml:space="preserve">and </w:t>
      </w:r>
      <w:r w:rsidR="000A1218" w:rsidRPr="00F00F30">
        <w:t xml:space="preserve">acceptance in this country of people from all cultures.  </w:t>
      </w:r>
    </w:p>
    <w:p w:rsidR="00B017F3" w:rsidRDefault="00B017F3" w:rsidP="008C00C1">
      <w:pPr>
        <w:widowControl w:val="0"/>
        <w:tabs>
          <w:tab w:val="left" w:pos="720"/>
        </w:tabs>
        <w:ind w:left="1080" w:hanging="1080"/>
      </w:pPr>
    </w:p>
    <w:p w:rsidR="00982827" w:rsidRPr="00F00F30" w:rsidRDefault="00982827" w:rsidP="008C00C1">
      <w:pPr>
        <w:widowControl w:val="0"/>
        <w:tabs>
          <w:tab w:val="left" w:pos="720"/>
        </w:tabs>
      </w:pPr>
      <w:r w:rsidRPr="00F00F30">
        <w:t xml:space="preserve">The acceptance </w:t>
      </w:r>
      <w:r w:rsidR="00B02320" w:rsidRPr="00F00F30">
        <w:t xml:space="preserve">and implementation </w:t>
      </w:r>
      <w:r w:rsidRPr="00F00F30">
        <w:t xml:space="preserve">of </w:t>
      </w:r>
      <w:r w:rsidR="00632EEF">
        <w:t>a</w:t>
      </w:r>
      <w:r w:rsidRPr="00F00F30">
        <w:t>ncient Australia in education settings will establish</w:t>
      </w:r>
      <w:r w:rsidR="00B017F3">
        <w:t xml:space="preserve"> m</w:t>
      </w:r>
      <w:r w:rsidR="006504E8" w:rsidRPr="00F00F30">
        <w:t>ore s</w:t>
      </w:r>
      <w:r w:rsidRPr="00F00F30">
        <w:t>ustai</w:t>
      </w:r>
      <w:r w:rsidR="00B02320" w:rsidRPr="00F00F30">
        <w:t xml:space="preserve">nable </w:t>
      </w:r>
      <w:r w:rsidR="00B017F3">
        <w:t>and</w:t>
      </w:r>
      <w:r w:rsidR="00B02320" w:rsidRPr="00F00F30">
        <w:t xml:space="preserve"> harmonious communities</w:t>
      </w:r>
      <w:r w:rsidR="00B017F3">
        <w:t>—</w:t>
      </w:r>
      <w:r w:rsidR="00B02320" w:rsidRPr="00F00F30">
        <w:t xml:space="preserve">for Indigenous </w:t>
      </w:r>
      <w:r w:rsidR="00632EEF">
        <w:t xml:space="preserve">as well as </w:t>
      </w:r>
      <w:r w:rsidR="00B017F3">
        <w:t>n</w:t>
      </w:r>
      <w:r w:rsidR="00B02320" w:rsidRPr="00F00F30">
        <w:t>on-Indigenous</w:t>
      </w:r>
      <w:r w:rsidR="00B017F3">
        <w:t xml:space="preserve"> people.</w:t>
      </w:r>
    </w:p>
    <w:p w:rsidR="00632EEF" w:rsidRPr="00324BED" w:rsidRDefault="00632EEF" w:rsidP="00DA606A">
      <w:pPr>
        <w:widowControl w:val="0"/>
        <w:tabs>
          <w:tab w:val="left" w:pos="812"/>
        </w:tabs>
        <w:rPr>
          <w:b/>
        </w:rPr>
      </w:pPr>
    </w:p>
    <w:p w:rsidR="0094331F" w:rsidRPr="00324BED" w:rsidRDefault="00BA3F77" w:rsidP="00DA606A">
      <w:pPr>
        <w:widowControl w:val="0"/>
        <w:tabs>
          <w:tab w:val="left" w:pos="812"/>
        </w:tabs>
      </w:pPr>
      <w:r w:rsidRPr="00324BED"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3C7F02F3" wp14:editId="6FA1065B">
            <wp:simplePos x="0" y="0"/>
            <wp:positionH relativeFrom="column">
              <wp:posOffset>-238539</wp:posOffset>
            </wp:positionH>
            <wp:positionV relativeFrom="paragraph">
              <wp:posOffset>91827</wp:posOffset>
            </wp:positionV>
            <wp:extent cx="6400800" cy="5224780"/>
            <wp:effectExtent l="0" t="0" r="0" b="0"/>
            <wp:wrapTopAndBottom/>
            <wp:docPr id="1" name="Picture 1" descr="negativecycl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gativecycl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3" t="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2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095">
        <w:pict>
          <v:rect id="_x0000_i1025" style="width:0;height:1.5pt" o:hralign="center" o:hrstd="t" o:hr="t" fillcolor="#a0a0a0" stroked="f"/>
        </w:pict>
      </w:r>
    </w:p>
    <w:p w:rsidR="0094331F" w:rsidRPr="00324BED" w:rsidRDefault="00324BED" w:rsidP="00DA606A">
      <w:pPr>
        <w:widowControl w:val="0"/>
        <w:tabs>
          <w:tab w:val="left" w:pos="812"/>
        </w:tabs>
      </w:pPr>
      <w:r w:rsidRPr="008C00C1">
        <w:t xml:space="preserve">Figure 1. The negative cycle of many </w:t>
      </w:r>
      <w:r w:rsidR="00632EEF">
        <w:t>n</w:t>
      </w:r>
      <w:r w:rsidRPr="008C00C1">
        <w:t xml:space="preserve">on-Aboriginal </w:t>
      </w:r>
      <w:r w:rsidR="00632EEF">
        <w:t>and</w:t>
      </w:r>
      <w:r w:rsidRPr="008C00C1">
        <w:t xml:space="preserve"> Torres Strait Islander service providers and </w:t>
      </w:r>
      <w:r w:rsidR="00632EEF">
        <w:t>e</w:t>
      </w:r>
      <w:r w:rsidRPr="008C00C1">
        <w:t>ducators</w:t>
      </w:r>
      <w:r w:rsidR="00632EEF">
        <w:t>.</w:t>
      </w:r>
    </w:p>
    <w:p w:rsidR="0094331F" w:rsidRPr="00324BED" w:rsidRDefault="0094331F" w:rsidP="00DA606A">
      <w:pPr>
        <w:widowControl w:val="0"/>
        <w:tabs>
          <w:tab w:val="left" w:pos="812"/>
        </w:tabs>
      </w:pPr>
    </w:p>
    <w:p w:rsidR="00BA3F77" w:rsidRPr="00324BED" w:rsidRDefault="00BA3F77" w:rsidP="00DA606A">
      <w:pPr>
        <w:widowControl w:val="0"/>
        <w:tabs>
          <w:tab w:val="left" w:pos="812"/>
        </w:tabs>
        <w:rPr>
          <w:b/>
        </w:rPr>
      </w:pPr>
      <w:r w:rsidRPr="00324BED">
        <w:rPr>
          <w:b/>
        </w:rPr>
        <w:t xml:space="preserve">Understanding the </w:t>
      </w:r>
      <w:r w:rsidR="00632EEF">
        <w:rPr>
          <w:b/>
        </w:rPr>
        <w:t>H</w:t>
      </w:r>
      <w:r w:rsidRPr="00324BED">
        <w:rPr>
          <w:b/>
        </w:rPr>
        <w:t xml:space="preserve">istorical </w:t>
      </w:r>
      <w:r w:rsidR="00632EEF">
        <w:rPr>
          <w:b/>
        </w:rPr>
        <w:t>E</w:t>
      </w:r>
      <w:r w:rsidRPr="00324BED">
        <w:rPr>
          <w:b/>
        </w:rPr>
        <w:t xml:space="preserve">ducation of </w:t>
      </w:r>
      <w:r w:rsidR="00632EEF">
        <w:rPr>
          <w:b/>
        </w:rPr>
        <w:t>M</w:t>
      </w:r>
      <w:r w:rsidRPr="00324BED">
        <w:rPr>
          <w:b/>
        </w:rPr>
        <w:t xml:space="preserve">ost Australians in </w:t>
      </w:r>
      <w:r w:rsidR="00632EEF">
        <w:rPr>
          <w:b/>
        </w:rPr>
        <w:t>R</w:t>
      </w:r>
      <w:r w:rsidRPr="00324BED">
        <w:rPr>
          <w:b/>
        </w:rPr>
        <w:t xml:space="preserve">egards to Aboriginal </w:t>
      </w:r>
      <w:r w:rsidR="00632EEF">
        <w:rPr>
          <w:b/>
        </w:rPr>
        <w:t>and</w:t>
      </w:r>
      <w:r w:rsidRPr="00324BED">
        <w:rPr>
          <w:b/>
        </w:rPr>
        <w:t xml:space="preserve"> Torres Strait Islander </w:t>
      </w:r>
      <w:r w:rsidR="00632EEF">
        <w:rPr>
          <w:b/>
        </w:rPr>
        <w:t>C</w:t>
      </w:r>
      <w:r w:rsidRPr="00324BED">
        <w:rPr>
          <w:b/>
        </w:rPr>
        <w:t xml:space="preserve">ulture </w:t>
      </w:r>
      <w:r w:rsidR="00632EEF">
        <w:rPr>
          <w:b/>
        </w:rPr>
        <w:t>and</w:t>
      </w:r>
      <w:r w:rsidRPr="00324BED">
        <w:rPr>
          <w:b/>
        </w:rPr>
        <w:t xml:space="preserve"> </w:t>
      </w:r>
      <w:r w:rsidR="00632EEF">
        <w:rPr>
          <w:b/>
        </w:rPr>
        <w:t>P</w:t>
      </w:r>
      <w:r w:rsidRPr="00324BED">
        <w:rPr>
          <w:b/>
        </w:rPr>
        <w:t>eople</w:t>
      </w:r>
    </w:p>
    <w:p w:rsidR="00BA3F77" w:rsidRPr="00324BED" w:rsidRDefault="00B35F4B" w:rsidP="00DA606A">
      <w:pPr>
        <w:widowControl w:val="0"/>
        <w:tabs>
          <w:tab w:val="left" w:pos="812"/>
        </w:tabs>
        <w:rPr>
          <w:b/>
        </w:rPr>
      </w:pPr>
      <w:r w:rsidRPr="00324BED">
        <w:rPr>
          <w:color w:val="000000"/>
        </w:rPr>
        <w:t xml:space="preserve">According to the </w:t>
      </w:r>
      <w:r w:rsidRPr="00324BED">
        <w:t>Melbourne Declaration on Educational Goals for Young Australians (MCEECDYA</w:t>
      </w:r>
      <w:r w:rsidR="00632EEF">
        <w:t>)</w:t>
      </w:r>
      <w:r w:rsidRPr="00324BED">
        <w:t>,</w:t>
      </w:r>
      <w:r w:rsidR="00425CFF">
        <w:rPr>
          <w:vertAlign w:val="superscript"/>
        </w:rPr>
        <w:t>1</w:t>
      </w:r>
      <w:bookmarkStart w:id="0" w:name="_GoBack"/>
      <w:bookmarkEnd w:id="0"/>
      <w:r w:rsidRPr="00324BED">
        <w:t xml:space="preserve"> </w:t>
      </w:r>
      <w:r w:rsidRPr="00324BED">
        <w:rPr>
          <w:color w:val="000000"/>
        </w:rPr>
        <w:t>e</w:t>
      </w:r>
      <w:r w:rsidR="00BA3F77" w:rsidRPr="00324BED">
        <w:rPr>
          <w:color w:val="000000"/>
        </w:rPr>
        <w:t xml:space="preserve">ducators and workers from all sectors are important partners in engaging young Australians with Aboriginal </w:t>
      </w:r>
      <w:r w:rsidR="00632EEF">
        <w:rPr>
          <w:color w:val="000000"/>
        </w:rPr>
        <w:t>and</w:t>
      </w:r>
      <w:r w:rsidR="00BA3F77" w:rsidRPr="00324BED">
        <w:rPr>
          <w:color w:val="000000"/>
        </w:rPr>
        <w:t xml:space="preserve"> Torres Strait Islander knowledge and traditions. However, these are generations of Australians who</w:t>
      </w:r>
      <w:r w:rsidR="00632EEF">
        <w:rPr>
          <w:color w:val="000000"/>
        </w:rPr>
        <w:t>,</w:t>
      </w:r>
      <w:r w:rsidR="00BA3F77" w:rsidRPr="00324BED">
        <w:rPr>
          <w:color w:val="000000"/>
        </w:rPr>
        <w:t xml:space="preserve"> through no fault of their own</w:t>
      </w:r>
      <w:r w:rsidR="00632EEF">
        <w:rPr>
          <w:color w:val="000000"/>
        </w:rPr>
        <w:t>,</w:t>
      </w:r>
      <w:r w:rsidR="00BA3F77" w:rsidRPr="00324BED">
        <w:rPr>
          <w:color w:val="000000"/>
        </w:rPr>
        <w:t xml:space="preserve"> have had very limited access to an informed and positive education about Aboriginal </w:t>
      </w:r>
      <w:r w:rsidR="00632EEF">
        <w:rPr>
          <w:color w:val="000000"/>
        </w:rPr>
        <w:t>and</w:t>
      </w:r>
      <w:r w:rsidR="00BA3F77" w:rsidRPr="00324BED">
        <w:rPr>
          <w:color w:val="000000"/>
        </w:rPr>
        <w:t xml:space="preserve"> Torres Strait Islander people and their culture. Most Australian education up to now excluded Aboriginal </w:t>
      </w:r>
      <w:r w:rsidR="00632EEF">
        <w:rPr>
          <w:color w:val="000000"/>
        </w:rPr>
        <w:t xml:space="preserve">and </w:t>
      </w:r>
      <w:r w:rsidR="00BA3F77" w:rsidRPr="00324BED">
        <w:rPr>
          <w:color w:val="000000"/>
        </w:rPr>
        <w:t>Torres Strait Islander information (except at the most tokenistic level)</w:t>
      </w:r>
      <w:r w:rsidR="00632EEF">
        <w:rPr>
          <w:color w:val="000000"/>
        </w:rPr>
        <w:t>,</w:t>
      </w:r>
      <w:r w:rsidR="00BA3F77" w:rsidRPr="00324BED">
        <w:rPr>
          <w:color w:val="000000"/>
        </w:rPr>
        <w:t xml:space="preserve"> and certainly the media </w:t>
      </w:r>
      <w:r w:rsidR="00632EEF">
        <w:rPr>
          <w:color w:val="000000"/>
        </w:rPr>
        <w:t xml:space="preserve">has </w:t>
      </w:r>
      <w:r w:rsidR="00BA3F77" w:rsidRPr="00324BED">
        <w:rPr>
          <w:color w:val="000000"/>
        </w:rPr>
        <w:t>portrayed Australia’s Indigenous peoples in a very negative light.</w:t>
      </w:r>
    </w:p>
    <w:p w:rsidR="00BA3F77" w:rsidRPr="00324BED" w:rsidRDefault="00BD2A96" w:rsidP="008C00C1">
      <w:pPr>
        <w:widowControl w:val="0"/>
        <w:tabs>
          <w:tab w:val="left" w:pos="812"/>
        </w:tabs>
        <w:ind w:firstLine="810"/>
      </w:pPr>
      <w:r w:rsidRPr="00324BED">
        <w:t xml:space="preserve">Ma Rhea and Russell </w:t>
      </w:r>
      <w:r w:rsidR="00DA606A">
        <w:t>(</w:t>
      </w:r>
      <w:r w:rsidRPr="00324BED">
        <w:t xml:space="preserve">2012) state </w:t>
      </w:r>
      <w:r w:rsidR="00632EEF">
        <w:t xml:space="preserve">that </w:t>
      </w:r>
      <w:r w:rsidRPr="00324BED">
        <w:t>i</w:t>
      </w:r>
      <w:r w:rsidR="00BA3F77" w:rsidRPr="00324BED">
        <w:t xml:space="preserve">t is therefore important that today’s educators </w:t>
      </w:r>
      <w:r w:rsidR="00632EEF">
        <w:t>and</w:t>
      </w:r>
      <w:r w:rsidR="00BA3F77" w:rsidRPr="00324BED">
        <w:t xml:space="preserve"> trainers are supported and provided with a culturally safe framework to expand their knowledge and understanding of Aboriginal </w:t>
      </w:r>
      <w:r w:rsidR="00632EEF">
        <w:t>and</w:t>
      </w:r>
      <w:r w:rsidR="00BA3F77" w:rsidRPr="00324BED">
        <w:t xml:space="preserve"> Torres Strait Islander people and their knowledge and traditions. </w:t>
      </w:r>
      <w:r w:rsidR="00C76EF8" w:rsidRPr="00324BED">
        <w:t>We believe that</w:t>
      </w:r>
      <w:r w:rsidRPr="00324BED">
        <w:t xml:space="preserve"> if</w:t>
      </w:r>
      <w:r w:rsidR="00C76EF8" w:rsidRPr="00324BED">
        <w:t xml:space="preserve"> </w:t>
      </w:r>
      <w:r w:rsidR="005B494A" w:rsidRPr="00324BED">
        <w:t xml:space="preserve">all </w:t>
      </w:r>
      <w:r w:rsidR="00C76EF8" w:rsidRPr="00324BED">
        <w:t>Australians</w:t>
      </w:r>
      <w:r w:rsidRPr="00324BED">
        <w:t xml:space="preserve"> are</w:t>
      </w:r>
      <w:r w:rsidR="00C76EF8" w:rsidRPr="00324BED">
        <w:t xml:space="preserve"> </w:t>
      </w:r>
      <w:r w:rsidR="005B494A" w:rsidRPr="00324BED">
        <w:t xml:space="preserve">initiated in </w:t>
      </w:r>
      <w:r w:rsidR="00632EEF">
        <w:t>a</w:t>
      </w:r>
      <w:r w:rsidRPr="00324BED">
        <w:t>ncient Australia</w:t>
      </w:r>
      <w:r w:rsidR="00632EEF">
        <w:t>,</w:t>
      </w:r>
      <w:r w:rsidRPr="00324BED">
        <w:t xml:space="preserve"> we will </w:t>
      </w:r>
      <w:r w:rsidR="00B02320" w:rsidRPr="00324BED">
        <w:t xml:space="preserve">finally </w:t>
      </w:r>
      <w:r w:rsidRPr="00324BED">
        <w:t>break</w:t>
      </w:r>
      <w:r w:rsidR="00B02320" w:rsidRPr="00324BED">
        <w:t xml:space="preserve"> the negative cycle </w:t>
      </w:r>
      <w:r w:rsidR="00632EEF">
        <w:t xml:space="preserve">that </w:t>
      </w:r>
      <w:r w:rsidR="00B02320" w:rsidRPr="00324BED">
        <w:t xml:space="preserve">modern and </w:t>
      </w:r>
      <w:r w:rsidR="00DA606A">
        <w:t>a</w:t>
      </w:r>
      <w:r w:rsidR="00B02320" w:rsidRPr="00324BED">
        <w:t>ncient Australians</w:t>
      </w:r>
      <w:r w:rsidRPr="00324BED">
        <w:t xml:space="preserve"> are trapped within</w:t>
      </w:r>
      <w:r w:rsidR="00BB7F07" w:rsidRPr="00324BED">
        <w:t xml:space="preserve"> today</w:t>
      </w:r>
      <w:r w:rsidR="00B02320" w:rsidRPr="00324BED">
        <w:t>.</w:t>
      </w:r>
    </w:p>
    <w:p w:rsidR="000D293C" w:rsidRPr="00324BED" w:rsidRDefault="000D293C" w:rsidP="00DA606A">
      <w:pPr>
        <w:widowControl w:val="0"/>
      </w:pPr>
    </w:p>
    <w:p w:rsidR="00425CFF" w:rsidRDefault="00425CFF" w:rsidP="00DA606A">
      <w:pPr>
        <w:widowControl w:val="0"/>
        <w:rPr>
          <w:b/>
        </w:rPr>
      </w:pPr>
      <w:r>
        <w:rPr>
          <w:b/>
        </w:rPr>
        <w:t>Note</w:t>
      </w:r>
    </w:p>
    <w:p w:rsidR="00425CFF" w:rsidRPr="00425CFF" w:rsidRDefault="00425CFF" w:rsidP="00425CFF">
      <w:pPr>
        <w:pStyle w:val="Default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25CFF">
        <w:rPr>
          <w:rFonts w:ascii="Times New Roman" w:hAnsi="Times New Roman" w:cs="Times New Roman"/>
        </w:rPr>
        <w:t>The core aspects from the Melbourne Declaration on Educational Goals for Young Australians related to teaching Indigenous knowledge and perspectives retrieved from http://www.mceetya.edu.au/mceecdya/melbourne_declaration,25979.html.</w:t>
      </w:r>
    </w:p>
    <w:p w:rsidR="00425CFF" w:rsidRPr="00425CFF" w:rsidRDefault="00425CFF" w:rsidP="00425CFF">
      <w:pPr>
        <w:pStyle w:val="FootnoteText"/>
        <w:rPr>
          <w:sz w:val="24"/>
          <w:szCs w:val="24"/>
        </w:rPr>
      </w:pPr>
    </w:p>
    <w:p w:rsidR="00CD2FF5" w:rsidRPr="008C00C1" w:rsidRDefault="00B35F4B" w:rsidP="00DA606A">
      <w:pPr>
        <w:widowControl w:val="0"/>
        <w:rPr>
          <w:b/>
        </w:rPr>
      </w:pPr>
      <w:r w:rsidRPr="008C00C1">
        <w:rPr>
          <w:b/>
        </w:rPr>
        <w:t>Reference</w:t>
      </w:r>
    </w:p>
    <w:p w:rsidR="00DA606A" w:rsidRPr="00324BED" w:rsidRDefault="00DA606A" w:rsidP="00DA606A">
      <w:pPr>
        <w:pStyle w:val="Default"/>
        <w:widowControl w:val="0"/>
        <w:rPr>
          <w:rFonts w:ascii="Times New Roman" w:hAnsi="Times New Roman" w:cs="Times New Roman"/>
        </w:rPr>
      </w:pPr>
      <w:r w:rsidRPr="008C00C1">
        <w:rPr>
          <w:rFonts w:ascii="Times New Roman" w:hAnsi="Times New Roman" w:cs="Times New Roman"/>
          <w:b/>
        </w:rPr>
        <w:t>Ma Rhea, Z</w:t>
      </w:r>
      <w:r>
        <w:rPr>
          <w:rFonts w:ascii="Times New Roman" w:hAnsi="Times New Roman" w:cs="Times New Roman"/>
          <w:b/>
        </w:rPr>
        <w:t>.</w:t>
      </w:r>
      <w:r w:rsidRPr="008C00C1">
        <w:rPr>
          <w:rFonts w:ascii="Times New Roman" w:hAnsi="Times New Roman" w:cs="Times New Roman"/>
          <w:b/>
        </w:rPr>
        <w:t xml:space="preserve"> and Russell, L.</w:t>
      </w:r>
      <w:r w:rsidRPr="00324B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24BED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)</w:t>
      </w:r>
      <w:r w:rsidRPr="00324BED">
        <w:rPr>
          <w:rFonts w:ascii="Times New Roman" w:hAnsi="Times New Roman" w:cs="Times New Roman"/>
        </w:rPr>
        <w:t>. The Invisible Hand of Pedagogy in Australian Indigenous Studies and Indigenous Education</w:t>
      </w:r>
      <w:r>
        <w:rPr>
          <w:rFonts w:ascii="Times New Roman" w:hAnsi="Times New Roman" w:cs="Times New Roman"/>
        </w:rPr>
        <w:t xml:space="preserve">. </w:t>
      </w:r>
      <w:r w:rsidRPr="00324BED">
        <w:rPr>
          <w:rFonts w:ascii="Times New Roman" w:hAnsi="Times New Roman" w:cs="Times New Roman"/>
          <w:i/>
          <w:iCs/>
        </w:rPr>
        <w:t>Australian Journal of Indigenous Education</w:t>
      </w:r>
      <w:r w:rsidR="00632EEF">
        <w:rPr>
          <w:rFonts w:ascii="Times New Roman" w:hAnsi="Times New Roman" w:cs="Times New Roman"/>
          <w:i/>
          <w:iCs/>
        </w:rPr>
        <w:t xml:space="preserve">, </w:t>
      </w:r>
      <w:r w:rsidR="00632EEF">
        <w:rPr>
          <w:rFonts w:ascii="Times New Roman" w:hAnsi="Times New Roman" w:cs="Times New Roman"/>
          <w:b/>
          <w:iCs/>
        </w:rPr>
        <w:t>41</w:t>
      </w:r>
      <w:r w:rsidR="00632EEF">
        <w:rPr>
          <w:rFonts w:ascii="Times New Roman" w:hAnsi="Times New Roman" w:cs="Times New Roman"/>
          <w:iCs/>
        </w:rPr>
        <w:t>(1)</w:t>
      </w:r>
      <w:r w:rsidR="00632EEF">
        <w:rPr>
          <w:rFonts w:ascii="Times New Roman" w:hAnsi="Times New Roman" w:cs="Times New Roman"/>
        </w:rPr>
        <w:t>: 18–25.</w:t>
      </w:r>
    </w:p>
    <w:p w:rsidR="00CD2FF5" w:rsidRPr="00324BED" w:rsidRDefault="00CD2FF5" w:rsidP="00DA606A">
      <w:pPr>
        <w:widowControl w:val="0"/>
      </w:pPr>
    </w:p>
    <w:sectPr w:rsidR="00CD2FF5" w:rsidRPr="00324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095" w:rsidRDefault="00F31095" w:rsidP="00632EEF">
      <w:r>
        <w:separator/>
      </w:r>
    </w:p>
  </w:endnote>
  <w:endnote w:type="continuationSeparator" w:id="0">
    <w:p w:rsidR="00F31095" w:rsidRDefault="00F31095" w:rsidP="0063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095" w:rsidRDefault="00F31095" w:rsidP="00632EEF">
      <w:r>
        <w:separator/>
      </w:r>
    </w:p>
  </w:footnote>
  <w:footnote w:type="continuationSeparator" w:id="0">
    <w:p w:rsidR="00F31095" w:rsidRDefault="00F31095" w:rsidP="00632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A5DDD"/>
    <w:multiLevelType w:val="hybridMultilevel"/>
    <w:tmpl w:val="7E1C866E"/>
    <w:lvl w:ilvl="0" w:tplc="81AC1C40">
      <w:start w:val="1"/>
      <w:numFmt w:val="bullet"/>
      <w:lvlText w:val="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">
    <w:nsid w:val="20964F26"/>
    <w:multiLevelType w:val="hybridMultilevel"/>
    <w:tmpl w:val="3A148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D75D2"/>
    <w:multiLevelType w:val="hybridMultilevel"/>
    <w:tmpl w:val="B4629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18"/>
    <w:rsid w:val="000A1218"/>
    <w:rsid w:val="000D293C"/>
    <w:rsid w:val="00284C85"/>
    <w:rsid w:val="002A1683"/>
    <w:rsid w:val="002D2EA5"/>
    <w:rsid w:val="00324BED"/>
    <w:rsid w:val="00350FEE"/>
    <w:rsid w:val="00425CFF"/>
    <w:rsid w:val="0044665A"/>
    <w:rsid w:val="005B494A"/>
    <w:rsid w:val="00632EEF"/>
    <w:rsid w:val="006504E8"/>
    <w:rsid w:val="007E4126"/>
    <w:rsid w:val="008C00C1"/>
    <w:rsid w:val="009373C9"/>
    <w:rsid w:val="0094331F"/>
    <w:rsid w:val="00982827"/>
    <w:rsid w:val="009D5AF6"/>
    <w:rsid w:val="00AA23D3"/>
    <w:rsid w:val="00B017F3"/>
    <w:rsid w:val="00B02320"/>
    <w:rsid w:val="00B35663"/>
    <w:rsid w:val="00B35F4B"/>
    <w:rsid w:val="00BA3F77"/>
    <w:rsid w:val="00BB7F07"/>
    <w:rsid w:val="00BD2A96"/>
    <w:rsid w:val="00BE7EC2"/>
    <w:rsid w:val="00C76EF8"/>
    <w:rsid w:val="00CD2FF5"/>
    <w:rsid w:val="00D9371F"/>
    <w:rsid w:val="00DA606A"/>
    <w:rsid w:val="00E10E20"/>
    <w:rsid w:val="00EB0704"/>
    <w:rsid w:val="00F00F30"/>
    <w:rsid w:val="00F31095"/>
    <w:rsid w:val="00F5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5B079-2F32-4273-B522-BBA53931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2">
    <w:name w:val="heading 2"/>
    <w:basedOn w:val="Normal"/>
    <w:link w:val="Heading2Char"/>
    <w:qFormat/>
    <w:rsid w:val="00AA23D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A1218"/>
    <w:pPr>
      <w:spacing w:after="200" w:line="276" w:lineRule="auto"/>
      <w:ind w:left="720"/>
    </w:pPr>
    <w:rPr>
      <w:rFonts w:ascii="Calibri" w:eastAsia="Malgun Gothic" w:hAnsi="Calibri" w:cs="Calibri"/>
      <w:sz w:val="22"/>
      <w:szCs w:val="22"/>
      <w:lang w:eastAsia="ko-KR"/>
    </w:rPr>
  </w:style>
  <w:style w:type="character" w:customStyle="1" w:styleId="Heading2Char">
    <w:name w:val="Heading 2 Char"/>
    <w:basedOn w:val="DefaultParagraphFont"/>
    <w:link w:val="Heading2"/>
    <w:rsid w:val="00AA23D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rsid w:val="00982827"/>
    <w:pPr>
      <w:spacing w:before="100" w:beforeAutospacing="1" w:after="100" w:afterAutospacing="1"/>
    </w:pPr>
  </w:style>
  <w:style w:type="character" w:styleId="Strong">
    <w:name w:val="Strong"/>
    <w:qFormat/>
    <w:rsid w:val="0094331F"/>
    <w:rPr>
      <w:b/>
      <w:bCs/>
    </w:rPr>
  </w:style>
  <w:style w:type="character" w:styleId="Hyperlink">
    <w:name w:val="Hyperlink"/>
    <w:rsid w:val="00CD2FF5"/>
    <w:rPr>
      <w:color w:val="0000FF"/>
      <w:u w:val="single"/>
    </w:rPr>
  </w:style>
  <w:style w:type="paragraph" w:customStyle="1" w:styleId="Default">
    <w:name w:val="Default"/>
    <w:rsid w:val="00CD2FF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9D5AF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B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ED"/>
    <w:rPr>
      <w:rFonts w:ascii="Segoe UI" w:eastAsia="Times New Roman" w:hAnsi="Segoe UI" w:cs="Segoe UI"/>
      <w:sz w:val="18"/>
      <w:szCs w:val="18"/>
      <w:lang w:eastAsia="en-A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2E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2EEF"/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632E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 Turner-Jensen</dc:creator>
  <cp:keywords/>
  <dc:description/>
  <cp:lastModifiedBy>Bob2</cp:lastModifiedBy>
  <cp:revision>3</cp:revision>
  <dcterms:created xsi:type="dcterms:W3CDTF">2015-04-20T01:04:00Z</dcterms:created>
  <dcterms:modified xsi:type="dcterms:W3CDTF">2015-05-03T18:11:00Z</dcterms:modified>
</cp:coreProperties>
</file>