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7007" w:rsidRPr="00573E89" w:rsidRDefault="00CA7007" w:rsidP="00573E89">
      <w:pPr>
        <w:spacing w:line="320" w:lineRule="atLeast"/>
      </w:pPr>
      <w:bookmarkStart w:id="0" w:name="_GoBack"/>
      <w:bookmarkEnd w:id="0"/>
      <w:r>
        <w:rPr>
          <w:b/>
          <w:sz w:val="28"/>
          <w:szCs w:val="28"/>
        </w:rPr>
        <w:t>WEIDMAN — Gender</w:t>
      </w:r>
    </w:p>
    <w:p w:rsidR="00CA7007" w:rsidRDefault="00CA7007" w:rsidP="00573E89">
      <w:pPr>
        <w:spacing w:line="320" w:lineRule="atLeast"/>
        <w:rPr>
          <w:sz w:val="24"/>
          <w:szCs w:val="24"/>
        </w:rPr>
      </w:pPr>
      <w:r>
        <w:rPr>
          <w:sz w:val="24"/>
          <w:szCs w:val="24"/>
        </w:rPr>
        <w:t>&lt;2 tables; 4 figures&gt;</w:t>
      </w:r>
    </w:p>
    <w:p w:rsidR="00CA7007" w:rsidRDefault="00CA7007" w:rsidP="00573E89">
      <w:pPr>
        <w:spacing w:line="320" w:lineRule="atLeast"/>
        <w:rPr>
          <w:sz w:val="24"/>
          <w:szCs w:val="24"/>
        </w:rPr>
      </w:pPr>
    </w:p>
    <w:p w:rsidR="00CA7007" w:rsidRDefault="00CA7007" w:rsidP="00573E89">
      <w:pPr>
        <w:spacing w:line="320" w:lineRule="atLeast"/>
        <w:rPr>
          <w:sz w:val="24"/>
          <w:szCs w:val="24"/>
        </w:rPr>
      </w:pPr>
    </w:p>
    <w:p w:rsidR="00CA7007" w:rsidRPr="002F467D" w:rsidRDefault="00CA7007" w:rsidP="00573E89">
      <w:pPr>
        <w:spacing w:line="320" w:lineRule="atLeast"/>
        <w:rPr>
          <w:sz w:val="24"/>
          <w:szCs w:val="24"/>
        </w:rPr>
      </w:pPr>
      <w:r w:rsidRPr="002F467D">
        <w:rPr>
          <w:b/>
          <w:sz w:val="24"/>
          <w:szCs w:val="24"/>
        </w:rPr>
        <w:t>Gender Markers: Distinctive Words in Male and Female Authorship</w:t>
      </w:r>
    </w:p>
    <w:p w:rsidR="00CA7007" w:rsidRPr="00573E89" w:rsidRDefault="00CA7007" w:rsidP="00573E89">
      <w:pPr>
        <w:spacing w:line="320" w:lineRule="atLeast"/>
        <w:rPr>
          <w:sz w:val="24"/>
          <w:szCs w:val="24"/>
        </w:rPr>
      </w:pPr>
      <w:r w:rsidRPr="00573E89">
        <w:rPr>
          <w:sz w:val="24"/>
          <w:szCs w:val="24"/>
        </w:rPr>
        <w:t>Weidman, S</w:t>
      </w:r>
      <w:r>
        <w:rPr>
          <w:sz w:val="24"/>
          <w:szCs w:val="24"/>
        </w:rPr>
        <w:t>. G. and O’</w:t>
      </w:r>
      <w:r w:rsidRPr="00573E89">
        <w:rPr>
          <w:sz w:val="24"/>
          <w:szCs w:val="24"/>
        </w:rPr>
        <w:t>Sullivan, J</w:t>
      </w:r>
      <w:r>
        <w:rPr>
          <w:sz w:val="24"/>
          <w:szCs w:val="24"/>
        </w:rPr>
        <w:t xml:space="preserve">. </w:t>
      </w:r>
    </w:p>
    <w:p w:rsidR="00CA7007" w:rsidRPr="002F467D" w:rsidRDefault="00CA7007" w:rsidP="00573E89">
      <w:pPr>
        <w:spacing w:line="320" w:lineRule="atLeast"/>
        <w:rPr>
          <w:sz w:val="24"/>
          <w:szCs w:val="24"/>
        </w:rPr>
      </w:pPr>
      <w:bookmarkStart w:id="1" w:name="h.gjdgxs" w:colFirst="0" w:colLast="0"/>
      <w:bookmarkEnd w:id="1"/>
    </w:p>
    <w:p w:rsidR="00CA7007" w:rsidRPr="002F467D" w:rsidRDefault="00CA7007" w:rsidP="00573E89">
      <w:pPr>
        <w:spacing w:line="320" w:lineRule="atLeast"/>
        <w:rPr>
          <w:sz w:val="24"/>
          <w:szCs w:val="24"/>
        </w:rPr>
      </w:pPr>
      <w:r w:rsidRPr="002F467D">
        <w:rPr>
          <w:sz w:val="24"/>
          <w:szCs w:val="24"/>
        </w:rPr>
        <w:t>David L. Hoover’s frequently</w:t>
      </w:r>
      <w:r>
        <w:rPr>
          <w:sz w:val="24"/>
          <w:szCs w:val="24"/>
        </w:rPr>
        <w:t xml:space="preserve"> </w:t>
      </w:r>
      <w:r w:rsidRPr="002F467D">
        <w:rPr>
          <w:sz w:val="24"/>
          <w:szCs w:val="24"/>
        </w:rPr>
        <w:t xml:space="preserve">cited gendered wordlist presents a list of the </w:t>
      </w:r>
      <w:r>
        <w:rPr>
          <w:sz w:val="24"/>
          <w:szCs w:val="24"/>
        </w:rPr>
        <w:t xml:space="preserve">100 </w:t>
      </w:r>
      <w:r w:rsidRPr="002F467D">
        <w:rPr>
          <w:sz w:val="24"/>
          <w:szCs w:val="24"/>
        </w:rPr>
        <w:t xml:space="preserve">most distinctive words in the works of </w:t>
      </w:r>
      <w:r>
        <w:rPr>
          <w:sz w:val="24"/>
          <w:szCs w:val="24"/>
        </w:rPr>
        <w:t xml:space="preserve">26 </w:t>
      </w:r>
      <w:r w:rsidRPr="002F467D">
        <w:rPr>
          <w:sz w:val="24"/>
          <w:szCs w:val="24"/>
        </w:rPr>
        <w:t xml:space="preserve">poets, equally split between male and female authors. Hoover remarks (2013) that some aspects of his findings are </w:t>
      </w:r>
      <w:r>
        <w:rPr>
          <w:sz w:val="24"/>
          <w:szCs w:val="24"/>
        </w:rPr>
        <w:t>‘</w:t>
      </w:r>
      <w:r w:rsidRPr="002F467D">
        <w:rPr>
          <w:sz w:val="24"/>
          <w:szCs w:val="24"/>
        </w:rPr>
        <w:t>almost stereotypical</w:t>
      </w:r>
      <w:r>
        <w:rPr>
          <w:sz w:val="24"/>
          <w:szCs w:val="24"/>
        </w:rPr>
        <w:t>’</w:t>
      </w:r>
      <w:r w:rsidRPr="002F467D">
        <w:rPr>
          <w:sz w:val="24"/>
          <w:szCs w:val="24"/>
        </w:rPr>
        <w:t xml:space="preserve">, with </w:t>
      </w:r>
      <w:r>
        <w:rPr>
          <w:sz w:val="24"/>
          <w:szCs w:val="24"/>
        </w:rPr>
        <w:t>‘</w:t>
      </w:r>
      <w:r w:rsidRPr="002F467D">
        <w:rPr>
          <w:sz w:val="24"/>
          <w:szCs w:val="24"/>
        </w:rPr>
        <w:t xml:space="preserve">female markers like </w:t>
      </w:r>
      <w:r w:rsidRPr="002F467D">
        <w:rPr>
          <w:i/>
          <w:sz w:val="24"/>
          <w:szCs w:val="24"/>
        </w:rPr>
        <w:t>children</w:t>
      </w:r>
      <w:r w:rsidRPr="002F467D">
        <w:rPr>
          <w:sz w:val="24"/>
          <w:szCs w:val="24"/>
        </w:rPr>
        <w:t xml:space="preserve"> and </w:t>
      </w:r>
      <w:r w:rsidRPr="002F467D">
        <w:rPr>
          <w:i/>
          <w:sz w:val="24"/>
          <w:szCs w:val="24"/>
        </w:rPr>
        <w:t xml:space="preserve">mirrors </w:t>
      </w:r>
      <w:r w:rsidRPr="002F467D">
        <w:rPr>
          <w:sz w:val="24"/>
          <w:szCs w:val="24"/>
        </w:rPr>
        <w:t xml:space="preserve">and male markers like </w:t>
      </w:r>
      <w:r w:rsidRPr="002F467D">
        <w:rPr>
          <w:i/>
          <w:sz w:val="24"/>
          <w:szCs w:val="24"/>
        </w:rPr>
        <w:t>beer</w:t>
      </w:r>
      <w:r w:rsidRPr="002F467D">
        <w:rPr>
          <w:sz w:val="24"/>
          <w:szCs w:val="24"/>
        </w:rPr>
        <w:t xml:space="preserve"> and </w:t>
      </w:r>
      <w:r w:rsidRPr="002F467D">
        <w:rPr>
          <w:i/>
          <w:sz w:val="24"/>
          <w:szCs w:val="24"/>
        </w:rPr>
        <w:t>lust</w:t>
      </w:r>
      <w:r>
        <w:rPr>
          <w:sz w:val="24"/>
          <w:szCs w:val="24"/>
        </w:rPr>
        <w:t>’</w:t>
      </w:r>
      <w:r w:rsidRPr="002F467D">
        <w:rPr>
          <w:sz w:val="24"/>
          <w:szCs w:val="24"/>
        </w:rPr>
        <w:t xml:space="preserve">. While there are some surprises in the list, and Hoover offers some fascinating concordances, he himself has acknowledged that </w:t>
      </w:r>
      <w:r>
        <w:rPr>
          <w:sz w:val="24"/>
          <w:szCs w:val="24"/>
        </w:rPr>
        <w:t>‘</w:t>
      </w:r>
      <w:r w:rsidRPr="002F467D">
        <w:rPr>
          <w:sz w:val="24"/>
          <w:szCs w:val="24"/>
        </w:rPr>
        <w:t>any study of the vocabulary of male and female poets would benefit from larger numbers of poets and larger samples, and many other configurations that address different contrasts are possible  (e.g., nationality or historical period)</w:t>
      </w:r>
      <w:r>
        <w:rPr>
          <w:sz w:val="24"/>
          <w:szCs w:val="24"/>
        </w:rPr>
        <w:t>’</w:t>
      </w:r>
      <w:r w:rsidRPr="002F467D">
        <w:rPr>
          <w:sz w:val="24"/>
          <w:szCs w:val="24"/>
        </w:rPr>
        <w:t>. This paper, while again accepting that one can never have too large or robust a dataset for this type of macro-analysis, attempts to build on the foundation set down by Hoover, analyzing gender markers across a selection of male and female authors.</w:t>
      </w:r>
    </w:p>
    <w:p w:rsidR="00CA7007" w:rsidRPr="002F467D" w:rsidRDefault="00CA7007" w:rsidP="00573E89">
      <w:pPr>
        <w:spacing w:line="320" w:lineRule="atLeast"/>
        <w:ind w:firstLine="720"/>
        <w:rPr>
          <w:sz w:val="24"/>
          <w:szCs w:val="24"/>
        </w:rPr>
      </w:pPr>
      <w:r w:rsidRPr="002F467D">
        <w:rPr>
          <w:sz w:val="24"/>
          <w:szCs w:val="24"/>
        </w:rPr>
        <w:t>As with any textual analysis assisted by computational methods, scholars are restricted by their access to a reliable corpus of digitized materials. Hoover drew his dataset from Literature Online, choosing poets who had a substantial sample available (see Table 1).</w:t>
      </w:r>
    </w:p>
    <w:p w:rsidR="00CA7007" w:rsidRPr="002F467D" w:rsidRDefault="00CA7007" w:rsidP="00573E89">
      <w:pPr>
        <w:spacing w:line="320" w:lineRule="atLeast"/>
        <w:rPr>
          <w:sz w:val="24"/>
          <w:szCs w:val="24"/>
        </w:rPr>
      </w:pPr>
      <w:r w:rsidRPr="002F467D">
        <w:rPr>
          <w:b/>
          <w:sz w:val="24"/>
          <w:szCs w:val="24"/>
        </w:rPr>
        <w:t xml:space="preserve"> </w:t>
      </w:r>
    </w:p>
    <w:tbl>
      <w:tblPr>
        <w:tblW w:w="64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3285"/>
        <w:gridCol w:w="3195"/>
      </w:tblGrid>
      <w:tr w:rsidR="00CA7007" w:rsidRPr="002F467D" w:rsidTr="00EE4F7E">
        <w:trPr>
          <w:jc w:val="center"/>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b/>
                <w:sz w:val="24"/>
                <w:szCs w:val="24"/>
              </w:rPr>
              <w:t>Male</w:t>
            </w:r>
          </w:p>
        </w:tc>
        <w:tc>
          <w:tcPr>
            <w:tcW w:w="31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b/>
                <w:sz w:val="24"/>
                <w:szCs w:val="24"/>
              </w:rPr>
              <w:t>Female</w:t>
            </w:r>
          </w:p>
        </w:tc>
      </w:tr>
      <w:tr w:rsidR="00CA7007" w:rsidRPr="002F467D" w:rsidTr="00EE4F7E">
        <w:trPr>
          <w:jc w:val="center"/>
        </w:trPr>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Ammons, A. R.</w:t>
            </w:r>
          </w:p>
        </w:tc>
        <w:tc>
          <w:tcPr>
            <w:tcW w:w="3195"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proofErr w:type="spellStart"/>
            <w:r w:rsidRPr="002F467D">
              <w:rPr>
                <w:sz w:val="24"/>
                <w:szCs w:val="24"/>
              </w:rPr>
              <w:t>Derricotte</w:t>
            </w:r>
            <w:proofErr w:type="spellEnd"/>
            <w:r w:rsidRPr="002F467D">
              <w:rPr>
                <w:sz w:val="24"/>
                <w:szCs w:val="24"/>
              </w:rPr>
              <w:t xml:space="preserve">, </w:t>
            </w:r>
            <w:proofErr w:type="spellStart"/>
            <w:r w:rsidRPr="002F467D">
              <w:rPr>
                <w:sz w:val="24"/>
                <w:szCs w:val="24"/>
              </w:rPr>
              <w:t>Toi</w:t>
            </w:r>
            <w:proofErr w:type="spellEnd"/>
          </w:p>
        </w:tc>
      </w:tr>
      <w:tr w:rsidR="00CA7007" w:rsidRPr="002F467D" w:rsidTr="00EE4F7E">
        <w:trPr>
          <w:jc w:val="center"/>
        </w:trPr>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 xml:space="preserve">Baraka, </w:t>
            </w:r>
            <w:proofErr w:type="spellStart"/>
            <w:r w:rsidRPr="002F467D">
              <w:rPr>
                <w:sz w:val="24"/>
                <w:szCs w:val="24"/>
              </w:rPr>
              <w:t>Imamu</w:t>
            </w:r>
            <w:proofErr w:type="spellEnd"/>
            <w:r w:rsidRPr="002F467D">
              <w:rPr>
                <w:sz w:val="24"/>
                <w:szCs w:val="24"/>
              </w:rPr>
              <w:t xml:space="preserve"> </w:t>
            </w:r>
            <w:proofErr w:type="spellStart"/>
            <w:r w:rsidRPr="002F467D">
              <w:rPr>
                <w:sz w:val="24"/>
                <w:szCs w:val="24"/>
              </w:rPr>
              <w:t>Amiri</w:t>
            </w:r>
            <w:proofErr w:type="spellEnd"/>
          </w:p>
        </w:tc>
        <w:tc>
          <w:tcPr>
            <w:tcW w:w="3195"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Gilbert, Sandra M.</w:t>
            </w:r>
          </w:p>
        </w:tc>
      </w:tr>
      <w:tr w:rsidR="00CA7007" w:rsidRPr="002F467D" w:rsidTr="00EE4F7E">
        <w:trPr>
          <w:jc w:val="center"/>
        </w:trPr>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 xml:space="preserve">Brathwaite, </w:t>
            </w:r>
            <w:proofErr w:type="spellStart"/>
            <w:r w:rsidRPr="002F467D">
              <w:rPr>
                <w:sz w:val="24"/>
                <w:szCs w:val="24"/>
              </w:rPr>
              <w:t>Kamau</w:t>
            </w:r>
            <w:proofErr w:type="spellEnd"/>
          </w:p>
        </w:tc>
        <w:tc>
          <w:tcPr>
            <w:tcW w:w="3195"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proofErr w:type="spellStart"/>
            <w:r w:rsidRPr="002F467D">
              <w:rPr>
                <w:sz w:val="24"/>
                <w:szCs w:val="24"/>
              </w:rPr>
              <w:t>Glück</w:t>
            </w:r>
            <w:proofErr w:type="spellEnd"/>
            <w:r w:rsidRPr="002F467D">
              <w:rPr>
                <w:sz w:val="24"/>
                <w:szCs w:val="24"/>
              </w:rPr>
              <w:t>, Louise</w:t>
            </w:r>
          </w:p>
        </w:tc>
      </w:tr>
      <w:tr w:rsidR="00CA7007" w:rsidRPr="002F467D" w:rsidTr="00EE4F7E">
        <w:trPr>
          <w:jc w:val="center"/>
        </w:trPr>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proofErr w:type="spellStart"/>
            <w:r w:rsidRPr="002F467D">
              <w:rPr>
                <w:sz w:val="24"/>
                <w:szCs w:val="24"/>
              </w:rPr>
              <w:t>Carruth</w:t>
            </w:r>
            <w:proofErr w:type="spellEnd"/>
            <w:r w:rsidRPr="002F467D">
              <w:rPr>
                <w:sz w:val="24"/>
                <w:szCs w:val="24"/>
              </w:rPr>
              <w:t>, Hayden</w:t>
            </w:r>
          </w:p>
        </w:tc>
        <w:tc>
          <w:tcPr>
            <w:tcW w:w="3195"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proofErr w:type="spellStart"/>
            <w:r w:rsidRPr="002F467D">
              <w:rPr>
                <w:sz w:val="24"/>
                <w:szCs w:val="24"/>
              </w:rPr>
              <w:t>Kumin</w:t>
            </w:r>
            <w:proofErr w:type="spellEnd"/>
            <w:r w:rsidRPr="002F467D">
              <w:rPr>
                <w:sz w:val="24"/>
                <w:szCs w:val="24"/>
              </w:rPr>
              <w:t>, Maxine</w:t>
            </w:r>
          </w:p>
        </w:tc>
      </w:tr>
      <w:tr w:rsidR="00CA7007" w:rsidRPr="002F467D" w:rsidTr="00EE4F7E">
        <w:trPr>
          <w:jc w:val="center"/>
        </w:trPr>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Gunn, Thom</w:t>
            </w:r>
          </w:p>
        </w:tc>
        <w:tc>
          <w:tcPr>
            <w:tcW w:w="3195"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Miles, Josephine</w:t>
            </w:r>
          </w:p>
        </w:tc>
      </w:tr>
      <w:tr w:rsidR="00CA7007" w:rsidRPr="002F467D" w:rsidTr="00EE4F7E">
        <w:trPr>
          <w:jc w:val="center"/>
        </w:trPr>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proofErr w:type="spellStart"/>
            <w:r w:rsidRPr="002F467D">
              <w:rPr>
                <w:sz w:val="24"/>
                <w:szCs w:val="24"/>
              </w:rPr>
              <w:t>Kees</w:t>
            </w:r>
            <w:proofErr w:type="spellEnd"/>
            <w:r w:rsidRPr="002F467D">
              <w:rPr>
                <w:sz w:val="24"/>
                <w:szCs w:val="24"/>
              </w:rPr>
              <w:t>, Weldon</w:t>
            </w:r>
          </w:p>
        </w:tc>
        <w:tc>
          <w:tcPr>
            <w:tcW w:w="3195"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Olds, Sharon</w:t>
            </w:r>
          </w:p>
        </w:tc>
      </w:tr>
      <w:tr w:rsidR="00CA7007" w:rsidRPr="002F467D" w:rsidTr="00EE4F7E">
        <w:trPr>
          <w:jc w:val="center"/>
        </w:trPr>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proofErr w:type="spellStart"/>
            <w:r w:rsidRPr="002F467D">
              <w:rPr>
                <w:sz w:val="24"/>
                <w:szCs w:val="24"/>
              </w:rPr>
              <w:t>Kinnell</w:t>
            </w:r>
            <w:proofErr w:type="spellEnd"/>
            <w:r w:rsidRPr="002F467D">
              <w:rPr>
                <w:sz w:val="24"/>
                <w:szCs w:val="24"/>
              </w:rPr>
              <w:t>, Galway</w:t>
            </w:r>
          </w:p>
        </w:tc>
        <w:tc>
          <w:tcPr>
            <w:tcW w:w="3195"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proofErr w:type="spellStart"/>
            <w:r w:rsidRPr="002F467D">
              <w:rPr>
                <w:sz w:val="24"/>
                <w:szCs w:val="24"/>
              </w:rPr>
              <w:t>Pastan</w:t>
            </w:r>
            <w:proofErr w:type="spellEnd"/>
            <w:r w:rsidRPr="002F467D">
              <w:rPr>
                <w:sz w:val="24"/>
                <w:szCs w:val="24"/>
              </w:rPr>
              <w:t>, Linda</w:t>
            </w:r>
          </w:p>
        </w:tc>
      </w:tr>
      <w:tr w:rsidR="00CA7007" w:rsidRPr="002F467D" w:rsidTr="00EE4F7E">
        <w:trPr>
          <w:jc w:val="center"/>
        </w:trPr>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Reed, Ishmael</w:t>
            </w:r>
          </w:p>
        </w:tc>
        <w:tc>
          <w:tcPr>
            <w:tcW w:w="3195"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Plath, Sylvia</w:t>
            </w:r>
          </w:p>
        </w:tc>
      </w:tr>
      <w:tr w:rsidR="00CA7007" w:rsidRPr="002F467D" w:rsidTr="00EE4F7E">
        <w:trPr>
          <w:jc w:val="center"/>
        </w:trPr>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 xml:space="preserve">Schwartz, </w:t>
            </w:r>
            <w:proofErr w:type="spellStart"/>
            <w:r w:rsidRPr="002F467D">
              <w:rPr>
                <w:sz w:val="24"/>
                <w:szCs w:val="24"/>
              </w:rPr>
              <w:t>Delmore</w:t>
            </w:r>
            <w:proofErr w:type="spellEnd"/>
          </w:p>
        </w:tc>
        <w:tc>
          <w:tcPr>
            <w:tcW w:w="3195"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Rich, Adrienne Cecile</w:t>
            </w:r>
          </w:p>
        </w:tc>
      </w:tr>
      <w:tr w:rsidR="00CA7007" w:rsidRPr="002F467D" w:rsidTr="00EE4F7E">
        <w:trPr>
          <w:jc w:val="center"/>
        </w:trPr>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Shapiro, Karl Jay</w:t>
            </w:r>
          </w:p>
        </w:tc>
        <w:tc>
          <w:tcPr>
            <w:tcW w:w="3195"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Rukeyser, Muriel</w:t>
            </w:r>
          </w:p>
        </w:tc>
      </w:tr>
      <w:tr w:rsidR="00CA7007" w:rsidRPr="002F467D" w:rsidTr="00EE4F7E">
        <w:trPr>
          <w:jc w:val="center"/>
        </w:trPr>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lastRenderedPageBreak/>
              <w:t>Snyder, Gary</w:t>
            </w:r>
          </w:p>
        </w:tc>
        <w:tc>
          <w:tcPr>
            <w:tcW w:w="3195"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Sexton, Anne</w:t>
            </w:r>
          </w:p>
        </w:tc>
      </w:tr>
      <w:tr w:rsidR="00CA7007" w:rsidRPr="002F467D" w:rsidTr="00EE4F7E">
        <w:trPr>
          <w:jc w:val="center"/>
        </w:trPr>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Stafford, William</w:t>
            </w:r>
          </w:p>
        </w:tc>
        <w:tc>
          <w:tcPr>
            <w:tcW w:w="3195"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Stevenson, Anne</w:t>
            </w:r>
          </w:p>
        </w:tc>
      </w:tr>
      <w:tr w:rsidR="00CA7007" w:rsidRPr="002F467D" w:rsidTr="00EE4F7E">
        <w:trPr>
          <w:jc w:val="center"/>
        </w:trPr>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Wright, James Arlington</w:t>
            </w:r>
          </w:p>
        </w:tc>
        <w:tc>
          <w:tcPr>
            <w:tcW w:w="3195"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Swenson, May</w:t>
            </w:r>
          </w:p>
        </w:tc>
      </w:tr>
    </w:tbl>
    <w:p w:rsidR="00CA7007" w:rsidRPr="002F467D" w:rsidRDefault="00CA7007" w:rsidP="00573E89">
      <w:pPr>
        <w:spacing w:line="320" w:lineRule="atLeast"/>
        <w:rPr>
          <w:sz w:val="24"/>
          <w:szCs w:val="24"/>
        </w:rPr>
      </w:pPr>
      <w:r w:rsidRPr="002F467D">
        <w:rPr>
          <w:b/>
          <w:sz w:val="24"/>
          <w:szCs w:val="24"/>
        </w:rPr>
        <w:t xml:space="preserve"> </w:t>
      </w:r>
    </w:p>
    <w:p w:rsidR="00CA7007" w:rsidRDefault="00092D11" w:rsidP="00B60322">
      <w:pPr>
        <w:spacing w:line="320" w:lineRule="atLeast"/>
        <w:rPr>
          <w:sz w:val="24"/>
          <w:szCs w:val="24"/>
        </w:rPr>
      </w:pPr>
      <w:r>
        <w:rPr>
          <w:i/>
          <w:sz w:val="24"/>
          <w:szCs w:val="24"/>
        </w:rPr>
        <w:pict>
          <v:rect id="_x0000_i1025" style="width:0;height:1.5pt" o:hrstd="t" o:hr="t" fillcolor="#a0a0a0" stroked="f"/>
        </w:pict>
      </w:r>
    </w:p>
    <w:p w:rsidR="00CA7007" w:rsidRPr="00B60322" w:rsidRDefault="00CA7007" w:rsidP="00B60322">
      <w:pPr>
        <w:spacing w:line="320" w:lineRule="atLeast"/>
        <w:rPr>
          <w:sz w:val="24"/>
          <w:szCs w:val="24"/>
        </w:rPr>
      </w:pPr>
      <w:r w:rsidRPr="00B60322">
        <w:rPr>
          <w:sz w:val="24"/>
          <w:szCs w:val="24"/>
        </w:rPr>
        <w:t>Table 1. Authors contributing to David Hoover</w:t>
      </w:r>
      <w:r>
        <w:rPr>
          <w:sz w:val="24"/>
          <w:szCs w:val="24"/>
        </w:rPr>
        <w:t>’</w:t>
      </w:r>
      <w:r w:rsidRPr="00B60322">
        <w:rPr>
          <w:sz w:val="24"/>
          <w:szCs w:val="24"/>
        </w:rPr>
        <w:t>s list of gender markers.</w:t>
      </w:r>
    </w:p>
    <w:p w:rsidR="00CA7007" w:rsidRPr="002F467D" w:rsidRDefault="00CA7007" w:rsidP="00573E89">
      <w:pPr>
        <w:spacing w:line="320" w:lineRule="atLeast"/>
        <w:rPr>
          <w:sz w:val="24"/>
          <w:szCs w:val="24"/>
        </w:rPr>
      </w:pPr>
    </w:p>
    <w:p w:rsidR="00CA7007" w:rsidRPr="002F467D" w:rsidRDefault="00CA7007" w:rsidP="00573E89">
      <w:pPr>
        <w:spacing w:line="320" w:lineRule="atLeast"/>
        <w:ind w:firstLine="720"/>
        <w:rPr>
          <w:sz w:val="24"/>
          <w:szCs w:val="24"/>
        </w:rPr>
      </w:pPr>
      <w:r w:rsidRPr="002F467D">
        <w:rPr>
          <w:sz w:val="24"/>
          <w:szCs w:val="24"/>
        </w:rPr>
        <w:t xml:space="preserve">In an effort to produce findings that would complement Hoover’s initial study, we took heed of his suggestions </w:t>
      </w:r>
      <w:r>
        <w:rPr>
          <w:sz w:val="24"/>
          <w:szCs w:val="24"/>
        </w:rPr>
        <w:t xml:space="preserve">to use </w:t>
      </w:r>
      <w:r w:rsidRPr="002F467D">
        <w:rPr>
          <w:sz w:val="24"/>
          <w:szCs w:val="24"/>
        </w:rPr>
        <w:t xml:space="preserve">a larger sample </w:t>
      </w:r>
      <w:r>
        <w:rPr>
          <w:sz w:val="24"/>
          <w:szCs w:val="24"/>
        </w:rPr>
        <w:t xml:space="preserve">that </w:t>
      </w:r>
      <w:r w:rsidRPr="002F467D">
        <w:rPr>
          <w:sz w:val="24"/>
          <w:szCs w:val="24"/>
        </w:rPr>
        <w:t>accounts for historical period. Thus, we identified three distinct literary periods of interest and gathered a selection of typical works from across the canonical authors from each of these eras (see Table 2).</w:t>
      </w:r>
    </w:p>
    <w:p w:rsidR="00CA7007" w:rsidRPr="002F467D" w:rsidRDefault="00CA7007" w:rsidP="00573E89">
      <w:pPr>
        <w:spacing w:line="320" w:lineRule="atLeast"/>
        <w:rPr>
          <w:sz w:val="24"/>
          <w:szCs w:val="24"/>
        </w:rPr>
      </w:pPr>
      <w:r w:rsidRPr="002F467D">
        <w:rPr>
          <w:b/>
          <w:sz w:val="24"/>
          <w:szCs w:val="24"/>
        </w:rPr>
        <w:t xml:space="preserve"> </w:t>
      </w:r>
    </w:p>
    <w:tbl>
      <w:tblPr>
        <w:tblW w:w="70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3600"/>
        <w:gridCol w:w="3420"/>
      </w:tblGrid>
      <w:tr w:rsidR="00CA7007" w:rsidRPr="002F467D" w:rsidTr="00FF1BD7">
        <w:trPr>
          <w:jc w:val="center"/>
        </w:trPr>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FF1BD7">
            <w:pPr>
              <w:spacing w:line="320" w:lineRule="atLeast"/>
              <w:rPr>
                <w:sz w:val="24"/>
                <w:szCs w:val="24"/>
              </w:rPr>
            </w:pPr>
            <w:r w:rsidRPr="002F467D">
              <w:rPr>
                <w:b/>
                <w:sz w:val="24"/>
                <w:szCs w:val="24"/>
              </w:rPr>
              <w:t>Male</w:t>
            </w:r>
          </w:p>
        </w:tc>
        <w:tc>
          <w:tcPr>
            <w:tcW w:w="34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FF1BD7">
            <w:pPr>
              <w:spacing w:line="320" w:lineRule="atLeast"/>
              <w:rPr>
                <w:sz w:val="24"/>
                <w:szCs w:val="24"/>
              </w:rPr>
            </w:pPr>
            <w:r w:rsidRPr="002F467D">
              <w:rPr>
                <w:b/>
                <w:sz w:val="24"/>
                <w:szCs w:val="24"/>
              </w:rPr>
              <w:t>Female</w:t>
            </w:r>
          </w:p>
        </w:tc>
      </w:tr>
      <w:tr w:rsidR="00CA7007" w:rsidRPr="002F467D" w:rsidTr="00C87462">
        <w:trPr>
          <w:jc w:val="center"/>
        </w:trPr>
        <w:tc>
          <w:tcPr>
            <w:tcW w:w="7020" w:type="dxa"/>
            <w:gridSpan w:val="2"/>
            <w:tcBorders>
              <w:left w:val="single" w:sz="8" w:space="0" w:color="000000"/>
              <w:bottom w:val="single" w:sz="8" w:space="0" w:color="000000"/>
            </w:tcBorders>
            <w:shd w:val="clear" w:color="auto" w:fill="D0CFCF"/>
            <w:tcMar>
              <w:top w:w="100" w:type="dxa"/>
              <w:left w:w="100" w:type="dxa"/>
              <w:bottom w:w="100" w:type="dxa"/>
              <w:right w:w="100" w:type="dxa"/>
            </w:tcMar>
          </w:tcPr>
          <w:p w:rsidR="00CA7007" w:rsidRPr="002F467D" w:rsidRDefault="00CA7007" w:rsidP="00B60322">
            <w:pPr>
              <w:spacing w:line="320" w:lineRule="atLeast"/>
              <w:jc w:val="center"/>
              <w:rPr>
                <w:sz w:val="24"/>
                <w:szCs w:val="24"/>
              </w:rPr>
            </w:pPr>
            <w:r w:rsidRPr="002F467D">
              <w:rPr>
                <w:b/>
                <w:sz w:val="24"/>
                <w:szCs w:val="24"/>
                <w:shd w:val="clear" w:color="auto" w:fill="D0CECE"/>
              </w:rPr>
              <w:t>Victorian authors</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 xml:space="preserve">Collins, </w:t>
            </w:r>
            <w:proofErr w:type="spellStart"/>
            <w:r w:rsidRPr="002F467D">
              <w:rPr>
                <w:sz w:val="24"/>
                <w:szCs w:val="24"/>
              </w:rPr>
              <w:t>Wilkie</w:t>
            </w:r>
            <w:proofErr w:type="spellEnd"/>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proofErr w:type="spellStart"/>
            <w:r w:rsidRPr="002F467D">
              <w:rPr>
                <w:sz w:val="24"/>
                <w:szCs w:val="24"/>
              </w:rPr>
              <w:t>Braddon</w:t>
            </w:r>
            <w:proofErr w:type="spellEnd"/>
            <w:r w:rsidRPr="002F467D">
              <w:rPr>
                <w:sz w:val="24"/>
                <w:szCs w:val="24"/>
              </w:rPr>
              <w:t>, Mary Elizabeth</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Conan Doyle, Arthur</w:t>
            </w:r>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Bronte, Anne</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Dickens, Charles</w:t>
            </w:r>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Bronte, Charlotte</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Disraeli, Benjamin</w:t>
            </w:r>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Bronte, Emily</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Hardy, Thomas</w:t>
            </w:r>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Eliot, George</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Kipling, Rudyard</w:t>
            </w:r>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Gaskell, Elizabeth</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Meredith, George</w:t>
            </w:r>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Kennard, Mary Eliza</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Thackeray, William</w:t>
            </w:r>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Oliphant, Margaret</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Trollope, Anthony</w:t>
            </w:r>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Wood, Ellen</w:t>
            </w:r>
          </w:p>
        </w:tc>
      </w:tr>
      <w:tr w:rsidR="00CA7007" w:rsidRPr="002F467D" w:rsidTr="008E3983">
        <w:trPr>
          <w:jc w:val="center"/>
        </w:trPr>
        <w:tc>
          <w:tcPr>
            <w:tcW w:w="7020" w:type="dxa"/>
            <w:gridSpan w:val="2"/>
            <w:tcBorders>
              <w:left w:val="single" w:sz="8" w:space="0" w:color="000000"/>
              <w:bottom w:val="single" w:sz="8" w:space="0" w:color="000000"/>
            </w:tcBorders>
            <w:shd w:val="clear" w:color="auto" w:fill="D0CFCF"/>
            <w:tcMar>
              <w:top w:w="100" w:type="dxa"/>
              <w:left w:w="100" w:type="dxa"/>
              <w:bottom w:w="100" w:type="dxa"/>
              <w:right w:w="100" w:type="dxa"/>
            </w:tcMar>
          </w:tcPr>
          <w:p w:rsidR="00CA7007" w:rsidRPr="002F467D" w:rsidRDefault="00CA7007" w:rsidP="00B60322">
            <w:pPr>
              <w:spacing w:line="320" w:lineRule="atLeast"/>
              <w:jc w:val="center"/>
              <w:rPr>
                <w:sz w:val="24"/>
                <w:szCs w:val="24"/>
              </w:rPr>
            </w:pPr>
            <w:r w:rsidRPr="002F467D">
              <w:rPr>
                <w:b/>
                <w:sz w:val="24"/>
                <w:szCs w:val="24"/>
                <w:shd w:val="clear" w:color="auto" w:fill="D0CECE"/>
              </w:rPr>
              <w:t>Modernist authors</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Beckett, Samuel</w:t>
            </w:r>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Bowen, Elizabeth</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Conrad, Joseph</w:t>
            </w:r>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Compton-Burnett, Ivy</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Faulkner, William</w:t>
            </w:r>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Mansfield, Katherine</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lastRenderedPageBreak/>
              <w:t>Fitzgerald, Scott F.</w:t>
            </w:r>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Rhys, Jean</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Hemingway, Ernest</w:t>
            </w:r>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Richardson, Dorothy</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Joyce, James</w:t>
            </w:r>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Stein, Gertrude</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Kafka, Franz</w:t>
            </w:r>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West, Rebecca</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Lawrence, D. H.</w:t>
            </w:r>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Wharton, Edith</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Nabokov, Vladimir</w:t>
            </w:r>
          </w:p>
        </w:tc>
        <w:tc>
          <w:tcPr>
            <w:tcW w:w="3420" w:type="dxa"/>
            <w:tcBorders>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Woolf, Virginia</w:t>
            </w:r>
          </w:p>
        </w:tc>
      </w:tr>
      <w:tr w:rsidR="00CA7007" w:rsidRPr="002F467D" w:rsidTr="00DD63C5">
        <w:trPr>
          <w:jc w:val="center"/>
        </w:trPr>
        <w:tc>
          <w:tcPr>
            <w:tcW w:w="7020" w:type="dxa"/>
            <w:gridSpan w:val="2"/>
            <w:tcBorders>
              <w:left w:val="single" w:sz="8" w:space="0" w:color="000000"/>
              <w:bottom w:val="single" w:sz="8" w:space="0" w:color="000000"/>
            </w:tcBorders>
            <w:shd w:val="clear" w:color="auto" w:fill="D0CFCF"/>
            <w:tcMar>
              <w:top w:w="100" w:type="dxa"/>
              <w:left w:w="100" w:type="dxa"/>
              <w:bottom w:w="100" w:type="dxa"/>
              <w:right w:w="100" w:type="dxa"/>
            </w:tcMar>
          </w:tcPr>
          <w:p w:rsidR="00CA7007" w:rsidRPr="002F467D" w:rsidRDefault="00CA7007" w:rsidP="00B60322">
            <w:pPr>
              <w:spacing w:line="320" w:lineRule="atLeast"/>
              <w:jc w:val="center"/>
              <w:rPr>
                <w:sz w:val="24"/>
                <w:szCs w:val="24"/>
              </w:rPr>
            </w:pPr>
            <w:r w:rsidRPr="002F467D">
              <w:rPr>
                <w:b/>
                <w:sz w:val="24"/>
                <w:szCs w:val="24"/>
                <w:shd w:val="clear" w:color="auto" w:fill="D0CECE"/>
              </w:rPr>
              <w:t>Contemporary authors</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Amis, Martin</w:t>
            </w:r>
          </w:p>
        </w:tc>
        <w:tc>
          <w:tcPr>
            <w:tcW w:w="3420"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Atwood, Margaret</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McCarthy, Cormac</w:t>
            </w:r>
          </w:p>
        </w:tc>
        <w:tc>
          <w:tcPr>
            <w:tcW w:w="3420"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Barker, Pat</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Naipaul, V. S.</w:t>
            </w:r>
          </w:p>
        </w:tc>
        <w:tc>
          <w:tcPr>
            <w:tcW w:w="3420"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Mantel, Hilary</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Pynchon, Thomas</w:t>
            </w:r>
          </w:p>
        </w:tc>
        <w:tc>
          <w:tcPr>
            <w:tcW w:w="3420"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Morrison, Toni</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Roth, Philip</w:t>
            </w:r>
          </w:p>
        </w:tc>
        <w:tc>
          <w:tcPr>
            <w:tcW w:w="3420"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Munro, Alice</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Rushdie, Salman</w:t>
            </w:r>
          </w:p>
        </w:tc>
        <w:tc>
          <w:tcPr>
            <w:tcW w:w="3420"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Oates, Joyce Carol</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Salinger, J. D.</w:t>
            </w:r>
          </w:p>
        </w:tc>
        <w:tc>
          <w:tcPr>
            <w:tcW w:w="3420"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Smith, Zadie</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Updike, John</w:t>
            </w:r>
          </w:p>
        </w:tc>
        <w:tc>
          <w:tcPr>
            <w:tcW w:w="3420"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r w:rsidRPr="002F467D">
              <w:rPr>
                <w:sz w:val="24"/>
                <w:szCs w:val="24"/>
              </w:rPr>
              <w:t>Walker, Alice</w:t>
            </w:r>
          </w:p>
        </w:tc>
      </w:tr>
      <w:tr w:rsidR="00CA7007" w:rsidRPr="002F467D" w:rsidTr="00EE4F7E">
        <w:trPr>
          <w:jc w:val="center"/>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A7007" w:rsidRPr="002F467D" w:rsidRDefault="00CA7007" w:rsidP="00573E89">
            <w:pPr>
              <w:spacing w:line="320" w:lineRule="atLeast"/>
              <w:rPr>
                <w:sz w:val="24"/>
                <w:szCs w:val="24"/>
              </w:rPr>
            </w:pPr>
            <w:r w:rsidRPr="002F467D">
              <w:rPr>
                <w:sz w:val="24"/>
                <w:szCs w:val="24"/>
              </w:rPr>
              <w:t>Vonnegut, Kurt</w:t>
            </w:r>
          </w:p>
        </w:tc>
        <w:tc>
          <w:tcPr>
            <w:tcW w:w="3420" w:type="dxa"/>
            <w:tcBorders>
              <w:bottom w:val="single" w:sz="8" w:space="0" w:color="000000"/>
              <w:right w:val="single" w:sz="8" w:space="0" w:color="000000"/>
            </w:tcBorders>
            <w:tcMar>
              <w:top w:w="100" w:type="dxa"/>
              <w:left w:w="100" w:type="dxa"/>
              <w:bottom w:w="100" w:type="dxa"/>
              <w:right w:w="100" w:type="dxa"/>
            </w:tcMar>
          </w:tcPr>
          <w:p w:rsidR="00CA7007" w:rsidRPr="002F467D" w:rsidRDefault="00CA7007" w:rsidP="00573E89">
            <w:pPr>
              <w:spacing w:line="320" w:lineRule="atLeast"/>
              <w:rPr>
                <w:sz w:val="24"/>
                <w:szCs w:val="24"/>
              </w:rPr>
            </w:pPr>
            <w:proofErr w:type="spellStart"/>
            <w:r w:rsidRPr="002F467D">
              <w:rPr>
                <w:sz w:val="24"/>
                <w:szCs w:val="24"/>
              </w:rPr>
              <w:t>Marilynne</w:t>
            </w:r>
            <w:proofErr w:type="spellEnd"/>
            <w:r w:rsidRPr="002F467D">
              <w:rPr>
                <w:sz w:val="24"/>
                <w:szCs w:val="24"/>
              </w:rPr>
              <w:t xml:space="preserve"> Robinson</w:t>
            </w:r>
          </w:p>
        </w:tc>
      </w:tr>
    </w:tbl>
    <w:p w:rsidR="00CA7007" w:rsidRPr="002F467D" w:rsidRDefault="00CA7007" w:rsidP="00573E89">
      <w:pPr>
        <w:spacing w:line="320" w:lineRule="atLeast"/>
        <w:rPr>
          <w:sz w:val="24"/>
          <w:szCs w:val="24"/>
        </w:rPr>
      </w:pPr>
      <w:r w:rsidRPr="002F467D">
        <w:rPr>
          <w:b/>
          <w:sz w:val="24"/>
          <w:szCs w:val="24"/>
        </w:rPr>
        <w:t xml:space="preserve"> </w:t>
      </w:r>
    </w:p>
    <w:p w:rsidR="00CA7007" w:rsidRDefault="00092D11" w:rsidP="00B60322">
      <w:pPr>
        <w:spacing w:line="320" w:lineRule="atLeast"/>
        <w:rPr>
          <w:sz w:val="24"/>
          <w:szCs w:val="24"/>
        </w:rPr>
      </w:pPr>
      <w:r>
        <w:rPr>
          <w:i/>
          <w:sz w:val="24"/>
          <w:szCs w:val="24"/>
        </w:rPr>
        <w:pict>
          <v:rect id="_x0000_i1026" style="width:0;height:1.5pt" o:hrstd="t" o:hr="t" fillcolor="#a0a0a0" stroked="f"/>
        </w:pict>
      </w:r>
    </w:p>
    <w:p w:rsidR="00CA7007" w:rsidRPr="00B60322" w:rsidRDefault="00CA7007" w:rsidP="00B60322">
      <w:pPr>
        <w:spacing w:line="320" w:lineRule="atLeast"/>
        <w:rPr>
          <w:sz w:val="24"/>
          <w:szCs w:val="24"/>
        </w:rPr>
      </w:pPr>
      <w:r w:rsidRPr="00B60322">
        <w:rPr>
          <w:sz w:val="24"/>
          <w:szCs w:val="24"/>
        </w:rPr>
        <w:t>Table 2. Authors used in our analysis.</w:t>
      </w:r>
    </w:p>
    <w:p w:rsidR="00CA7007" w:rsidRPr="002F467D" w:rsidRDefault="00CA7007" w:rsidP="00573E89">
      <w:pPr>
        <w:spacing w:line="320" w:lineRule="atLeast"/>
        <w:rPr>
          <w:sz w:val="24"/>
          <w:szCs w:val="24"/>
        </w:rPr>
      </w:pPr>
    </w:p>
    <w:p w:rsidR="00CA7007" w:rsidRPr="002F467D" w:rsidRDefault="00CA7007" w:rsidP="00573E89">
      <w:pPr>
        <w:spacing w:line="320" w:lineRule="atLeast"/>
        <w:ind w:firstLine="720"/>
        <w:rPr>
          <w:sz w:val="24"/>
          <w:szCs w:val="24"/>
        </w:rPr>
      </w:pPr>
      <w:r w:rsidRPr="002F467D">
        <w:rPr>
          <w:sz w:val="24"/>
          <w:szCs w:val="24"/>
        </w:rPr>
        <w:t xml:space="preserve">We accept that there are issues with choosing canonical authors, but it seems the only feasible way </w:t>
      </w:r>
      <w:r>
        <w:rPr>
          <w:sz w:val="24"/>
          <w:szCs w:val="24"/>
        </w:rPr>
        <w:t xml:space="preserve">to structure </w:t>
      </w:r>
      <w:r w:rsidRPr="002F467D">
        <w:rPr>
          <w:sz w:val="24"/>
          <w:szCs w:val="24"/>
        </w:rPr>
        <w:t>a study of this nature. We also elected to use novels and short stories, as opposed to poetry. We gathered corpora for 54 authors (see Table 2), for a combined total of 212 novels and collections of short stories. Attempts were made to use an equal amount of text from each author to ensure that larger oeuvres did not skew our results.</w:t>
      </w:r>
    </w:p>
    <w:p w:rsidR="00CA7007" w:rsidRPr="002F467D" w:rsidRDefault="00CA7007" w:rsidP="00573E89">
      <w:pPr>
        <w:spacing w:line="320" w:lineRule="atLeast"/>
        <w:rPr>
          <w:sz w:val="24"/>
          <w:szCs w:val="24"/>
        </w:rPr>
      </w:pPr>
    </w:p>
    <w:p w:rsidR="00CA7007" w:rsidRPr="002F467D" w:rsidRDefault="00CA7007" w:rsidP="00573E89">
      <w:pPr>
        <w:pStyle w:val="Heading1"/>
        <w:spacing w:line="320" w:lineRule="atLeast"/>
        <w:rPr>
          <w:sz w:val="24"/>
          <w:szCs w:val="24"/>
        </w:rPr>
      </w:pPr>
      <w:bookmarkStart w:id="2" w:name="h.30j0zll" w:colFirst="0" w:colLast="0"/>
      <w:bookmarkEnd w:id="2"/>
      <w:r w:rsidRPr="002F467D">
        <w:rPr>
          <w:sz w:val="24"/>
          <w:szCs w:val="24"/>
        </w:rPr>
        <w:t xml:space="preserve">Methodology </w:t>
      </w:r>
      <w:r>
        <w:rPr>
          <w:sz w:val="24"/>
          <w:szCs w:val="24"/>
        </w:rPr>
        <w:t xml:space="preserve">and </w:t>
      </w:r>
      <w:r w:rsidRPr="002F467D">
        <w:rPr>
          <w:sz w:val="24"/>
          <w:szCs w:val="24"/>
        </w:rPr>
        <w:t>Results</w:t>
      </w:r>
    </w:p>
    <w:p w:rsidR="00CA7007" w:rsidRPr="002F467D" w:rsidRDefault="00CA7007" w:rsidP="00573E89">
      <w:pPr>
        <w:spacing w:line="320" w:lineRule="atLeast"/>
        <w:rPr>
          <w:sz w:val="24"/>
          <w:szCs w:val="24"/>
        </w:rPr>
      </w:pPr>
      <w:r w:rsidRPr="002F467D">
        <w:rPr>
          <w:sz w:val="24"/>
          <w:szCs w:val="24"/>
        </w:rPr>
        <w:t>Craig’s Zeta (Hoover, 2008; Burrows</w:t>
      </w:r>
      <w:r>
        <w:rPr>
          <w:sz w:val="24"/>
          <w:szCs w:val="24"/>
        </w:rPr>
        <w:t>, 2004</w:t>
      </w:r>
      <w:r w:rsidRPr="002F467D">
        <w:rPr>
          <w:sz w:val="24"/>
          <w:szCs w:val="24"/>
        </w:rPr>
        <w:t xml:space="preserve">) was the primary methodology deployed, as was the case in Hoover’s original study. Our Zeta analysis was conducted using </w:t>
      </w:r>
      <w:proofErr w:type="spellStart"/>
      <w:r w:rsidRPr="002F467D">
        <w:rPr>
          <w:sz w:val="24"/>
          <w:szCs w:val="24"/>
        </w:rPr>
        <w:t>Stylo</w:t>
      </w:r>
      <w:proofErr w:type="spellEnd"/>
      <w:r w:rsidRPr="002F467D">
        <w:rPr>
          <w:sz w:val="24"/>
          <w:szCs w:val="24"/>
        </w:rPr>
        <w:t xml:space="preserve"> (Eder </w:t>
      </w:r>
      <w:r>
        <w:rPr>
          <w:sz w:val="24"/>
          <w:szCs w:val="24"/>
        </w:rPr>
        <w:t>et al., 2013</w:t>
      </w:r>
      <w:r w:rsidRPr="002F467D">
        <w:rPr>
          <w:sz w:val="24"/>
          <w:szCs w:val="24"/>
        </w:rPr>
        <w:t xml:space="preserve">), </w:t>
      </w:r>
      <w:r w:rsidRPr="002F467D">
        <w:rPr>
          <w:sz w:val="24"/>
          <w:szCs w:val="24"/>
        </w:rPr>
        <w:lastRenderedPageBreak/>
        <w:t>with a text slice length of 2,000, text slice overlap of 1,000, and an occurrence and filter threshold of 2 and 0.1</w:t>
      </w:r>
      <w:r>
        <w:rPr>
          <w:sz w:val="24"/>
          <w:szCs w:val="24"/>
        </w:rPr>
        <w:t>,</w:t>
      </w:r>
      <w:r w:rsidRPr="002F467D">
        <w:rPr>
          <w:sz w:val="24"/>
          <w:szCs w:val="24"/>
        </w:rPr>
        <w:t xml:space="preserve"> respectively. Initially, we produced standard most frequent wordlists using Delta, with a list of </w:t>
      </w:r>
      <w:proofErr w:type="spellStart"/>
      <w:r w:rsidRPr="002F467D">
        <w:rPr>
          <w:sz w:val="24"/>
          <w:szCs w:val="24"/>
        </w:rPr>
        <w:t>stopwords</w:t>
      </w:r>
      <w:proofErr w:type="spellEnd"/>
      <w:r w:rsidRPr="002F467D">
        <w:rPr>
          <w:sz w:val="24"/>
          <w:szCs w:val="24"/>
        </w:rPr>
        <w:t xml:space="preserve"> applied. Comparing these results, we saw little separation between the genders. Zeta, as a measure designed to detect distinctive words, yielded more fruitful data. When comparing authors from across all periods, our results confirm Hoover’s in that there are some stereotypical words that do emerge. On the female side, most notable are </w:t>
      </w:r>
      <w:r>
        <w:rPr>
          <w:sz w:val="24"/>
          <w:szCs w:val="24"/>
        </w:rPr>
        <w:t>‘</w:t>
      </w:r>
      <w:r w:rsidRPr="002F467D">
        <w:rPr>
          <w:sz w:val="24"/>
          <w:szCs w:val="24"/>
        </w:rPr>
        <w:t>household</w:t>
      </w:r>
      <w:r>
        <w:rPr>
          <w:sz w:val="24"/>
          <w:szCs w:val="24"/>
        </w:rPr>
        <w:t>’</w:t>
      </w:r>
      <w:r w:rsidRPr="002F467D">
        <w:rPr>
          <w:sz w:val="24"/>
          <w:szCs w:val="24"/>
        </w:rPr>
        <w:t xml:space="preserve">, </w:t>
      </w:r>
      <w:r>
        <w:rPr>
          <w:sz w:val="24"/>
          <w:szCs w:val="24"/>
        </w:rPr>
        <w:t>‘</w:t>
      </w:r>
      <w:r w:rsidRPr="002F467D">
        <w:rPr>
          <w:sz w:val="24"/>
          <w:szCs w:val="24"/>
        </w:rPr>
        <w:t>smile</w:t>
      </w:r>
      <w:r>
        <w:rPr>
          <w:sz w:val="24"/>
          <w:szCs w:val="24"/>
        </w:rPr>
        <w:t>’,</w:t>
      </w:r>
      <w:r w:rsidRPr="002F467D">
        <w:rPr>
          <w:sz w:val="24"/>
          <w:szCs w:val="24"/>
        </w:rPr>
        <w:t xml:space="preserve"> and </w:t>
      </w:r>
      <w:r>
        <w:rPr>
          <w:sz w:val="24"/>
          <w:szCs w:val="24"/>
        </w:rPr>
        <w:t>‘</w:t>
      </w:r>
      <w:r w:rsidRPr="002F467D">
        <w:rPr>
          <w:sz w:val="24"/>
          <w:szCs w:val="24"/>
        </w:rPr>
        <w:t>mother</w:t>
      </w:r>
      <w:r>
        <w:rPr>
          <w:sz w:val="24"/>
          <w:szCs w:val="24"/>
        </w:rPr>
        <w:t>’</w:t>
      </w:r>
      <w:r w:rsidRPr="002F467D">
        <w:rPr>
          <w:sz w:val="24"/>
          <w:szCs w:val="24"/>
        </w:rPr>
        <w:t xml:space="preserve">, while on the male side, </w:t>
      </w:r>
      <w:r>
        <w:rPr>
          <w:sz w:val="24"/>
          <w:szCs w:val="24"/>
        </w:rPr>
        <w:t>‘</w:t>
      </w:r>
      <w:r w:rsidRPr="002F467D">
        <w:rPr>
          <w:sz w:val="24"/>
          <w:szCs w:val="24"/>
        </w:rPr>
        <w:t>country</w:t>
      </w:r>
      <w:r>
        <w:rPr>
          <w:sz w:val="24"/>
          <w:szCs w:val="24"/>
        </w:rPr>
        <w:t>’</w:t>
      </w:r>
      <w:r w:rsidRPr="002F467D">
        <w:rPr>
          <w:sz w:val="24"/>
          <w:szCs w:val="24"/>
        </w:rPr>
        <w:t xml:space="preserve"> and </w:t>
      </w:r>
      <w:r>
        <w:rPr>
          <w:sz w:val="24"/>
          <w:szCs w:val="24"/>
        </w:rPr>
        <w:t>‘</w:t>
      </w:r>
      <w:r w:rsidRPr="002F467D">
        <w:rPr>
          <w:sz w:val="24"/>
          <w:szCs w:val="24"/>
        </w:rPr>
        <w:t>famous</w:t>
      </w:r>
      <w:r>
        <w:rPr>
          <w:sz w:val="24"/>
          <w:szCs w:val="24"/>
        </w:rPr>
        <w:t>’</w:t>
      </w:r>
      <w:r w:rsidRPr="002F467D">
        <w:rPr>
          <w:sz w:val="24"/>
          <w:szCs w:val="24"/>
        </w:rPr>
        <w:t xml:space="preserve"> stand out. </w:t>
      </w:r>
      <w:r>
        <w:rPr>
          <w:sz w:val="24"/>
          <w:szCs w:val="24"/>
        </w:rPr>
        <w:t>‘</w:t>
      </w:r>
      <w:r w:rsidRPr="002F467D">
        <w:rPr>
          <w:sz w:val="24"/>
          <w:szCs w:val="24"/>
        </w:rPr>
        <w:t>America</w:t>
      </w:r>
      <w:r>
        <w:rPr>
          <w:sz w:val="24"/>
          <w:szCs w:val="24"/>
        </w:rPr>
        <w:t>’</w:t>
      </w:r>
      <w:r w:rsidRPr="002F467D">
        <w:rPr>
          <w:sz w:val="24"/>
          <w:szCs w:val="24"/>
        </w:rPr>
        <w:t xml:space="preserve"> is also present in the distinctive male words. The male words are arguably reflective of a dataset </w:t>
      </w:r>
      <w:r>
        <w:rPr>
          <w:sz w:val="24"/>
          <w:szCs w:val="24"/>
        </w:rPr>
        <w:t xml:space="preserve">that </w:t>
      </w:r>
      <w:r w:rsidRPr="002F467D">
        <w:rPr>
          <w:sz w:val="24"/>
          <w:szCs w:val="24"/>
        </w:rPr>
        <w:t>contains slightly more male American authors than it does female American authors—suggesting that Hoover is also correct to point towards nationality as a further potential classifier—but the difference is not so great that it should yield significant skewing. However, while there is a clear presence of stereotypical markers, there is also some significant crossover between authors. This is less pronounced across different periods, but when author sets are considered as a whole (see Fig</w:t>
      </w:r>
      <w:r>
        <w:rPr>
          <w:sz w:val="24"/>
          <w:szCs w:val="24"/>
        </w:rPr>
        <w:t>ure</w:t>
      </w:r>
      <w:r w:rsidRPr="002F467D">
        <w:rPr>
          <w:sz w:val="24"/>
          <w:szCs w:val="24"/>
        </w:rPr>
        <w:t xml:space="preserve"> 1), the macro-separation is not as pronounced as in Hoover’s findings.</w:t>
      </w:r>
    </w:p>
    <w:p w:rsidR="00CA7007" w:rsidRPr="002F467D" w:rsidRDefault="00CA7007" w:rsidP="00573E89">
      <w:pPr>
        <w:spacing w:line="320" w:lineRule="atLeast"/>
        <w:rPr>
          <w:sz w:val="24"/>
          <w:szCs w:val="24"/>
        </w:rPr>
      </w:pPr>
    </w:p>
    <w:p w:rsidR="00CA7007" w:rsidRPr="002F467D" w:rsidRDefault="00B60322" w:rsidP="00573E89">
      <w:pPr>
        <w:spacing w:line="320" w:lineRule="atLeast"/>
        <w:jc w:val="center"/>
        <w:rPr>
          <w:i/>
          <w:sz w:val="24"/>
          <w:szCs w:val="24"/>
        </w:rPr>
      </w:pPr>
      <w:r>
        <w:rPr>
          <w:noProof/>
        </w:rPr>
        <w:drawing>
          <wp:anchor distT="0" distB="0" distL="114300" distR="114300" simplePos="0" relativeHeight="251658240" behindDoc="0" locked="0" layoutInCell="1" allowOverlap="1">
            <wp:simplePos x="0" y="0"/>
            <wp:positionH relativeFrom="column">
              <wp:posOffset>1301115</wp:posOffset>
            </wp:positionH>
            <wp:positionV relativeFrom="paragraph">
              <wp:align>bottom</wp:align>
            </wp:positionV>
            <wp:extent cx="3332480" cy="2426970"/>
            <wp:effectExtent l="0" t="0" r="1270" b="0"/>
            <wp:wrapTopAndBottom/>
            <wp:docPr id="2"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2480" cy="2426970"/>
                    </a:xfrm>
                    <a:prstGeom prst="rect">
                      <a:avLst/>
                    </a:prstGeom>
                    <a:noFill/>
                  </pic:spPr>
                </pic:pic>
              </a:graphicData>
            </a:graphic>
            <wp14:sizeRelH relativeFrom="page">
              <wp14:pctWidth>0</wp14:pctWidth>
            </wp14:sizeRelH>
            <wp14:sizeRelV relativeFrom="page">
              <wp14:pctHeight>0</wp14:pctHeight>
            </wp14:sizeRelV>
          </wp:anchor>
        </w:drawing>
      </w:r>
      <w:r w:rsidR="00092D11">
        <w:rPr>
          <w:i/>
          <w:sz w:val="24"/>
          <w:szCs w:val="24"/>
        </w:rPr>
        <w:pict>
          <v:rect id="_x0000_i1027" style="width:0;height:1.5pt" o:hralign="center" o:hrstd="t" o:hr="t" fillcolor="#a0a0a0" stroked="f"/>
        </w:pict>
      </w:r>
    </w:p>
    <w:p w:rsidR="00CA7007" w:rsidRPr="00573E89" w:rsidRDefault="00CA7007" w:rsidP="00B60322">
      <w:pPr>
        <w:spacing w:line="320" w:lineRule="atLeast"/>
        <w:rPr>
          <w:sz w:val="24"/>
          <w:szCs w:val="24"/>
        </w:rPr>
      </w:pPr>
      <w:r w:rsidRPr="00B60322">
        <w:rPr>
          <w:sz w:val="24"/>
          <w:szCs w:val="24"/>
        </w:rPr>
        <w:t>Fig</w:t>
      </w:r>
      <w:r>
        <w:rPr>
          <w:sz w:val="24"/>
          <w:szCs w:val="24"/>
        </w:rPr>
        <w:t>ure</w:t>
      </w:r>
      <w:r w:rsidRPr="00B60322">
        <w:rPr>
          <w:sz w:val="24"/>
          <w:szCs w:val="24"/>
        </w:rPr>
        <w:t xml:space="preserve"> 1. All authors</w:t>
      </w:r>
      <w:r>
        <w:rPr>
          <w:sz w:val="24"/>
          <w:szCs w:val="24"/>
        </w:rPr>
        <w:t>.</w:t>
      </w:r>
    </w:p>
    <w:p w:rsidR="00CA7007" w:rsidRPr="002F467D" w:rsidRDefault="00CA7007" w:rsidP="00573E89">
      <w:pPr>
        <w:spacing w:line="320" w:lineRule="atLeast"/>
        <w:jc w:val="center"/>
        <w:rPr>
          <w:sz w:val="24"/>
          <w:szCs w:val="24"/>
        </w:rPr>
      </w:pPr>
    </w:p>
    <w:p w:rsidR="00CA7007" w:rsidRPr="002F467D" w:rsidRDefault="00CA7007" w:rsidP="00573E89">
      <w:pPr>
        <w:spacing w:line="320" w:lineRule="atLeast"/>
        <w:ind w:firstLine="720"/>
        <w:rPr>
          <w:sz w:val="24"/>
          <w:szCs w:val="24"/>
        </w:rPr>
      </w:pPr>
      <w:r w:rsidRPr="002F467D">
        <w:rPr>
          <w:sz w:val="24"/>
          <w:szCs w:val="24"/>
        </w:rPr>
        <w:t>As suggested by Hoover, we also analyze authors chronologically, comparing male and female authors across their respective periods. Once again, there are substantial correlations with Hoover’s wordlist, with stereotypes appearing in all sets, across all periods. But, as noted, the crossover between genders fluctuates throughout periods, with contemporary authors sharing the greatest similarities (see Fig</w:t>
      </w:r>
      <w:r>
        <w:rPr>
          <w:sz w:val="24"/>
          <w:szCs w:val="24"/>
        </w:rPr>
        <w:t>ures</w:t>
      </w:r>
      <w:r w:rsidRPr="002F467D">
        <w:rPr>
          <w:sz w:val="24"/>
          <w:szCs w:val="24"/>
        </w:rPr>
        <w:t xml:space="preserve"> 2</w:t>
      </w:r>
      <w:r>
        <w:rPr>
          <w:sz w:val="24"/>
          <w:szCs w:val="24"/>
        </w:rPr>
        <w:t>,</w:t>
      </w:r>
      <w:r w:rsidRPr="002F467D">
        <w:rPr>
          <w:sz w:val="24"/>
          <w:szCs w:val="24"/>
        </w:rPr>
        <w:t xml:space="preserve"> 3</w:t>
      </w:r>
      <w:r>
        <w:rPr>
          <w:sz w:val="24"/>
          <w:szCs w:val="24"/>
        </w:rPr>
        <w:t>, and</w:t>
      </w:r>
      <w:r w:rsidRPr="002F467D">
        <w:rPr>
          <w:sz w:val="24"/>
          <w:szCs w:val="24"/>
        </w:rPr>
        <w:t xml:space="preserve"> 4). This would suggest that gender distinctions between authors fluctuate across literary epochs. </w:t>
      </w:r>
    </w:p>
    <w:p w:rsidR="00CA7007" w:rsidRPr="002F467D" w:rsidRDefault="00CA7007" w:rsidP="00573E89">
      <w:pPr>
        <w:spacing w:line="320" w:lineRule="atLeast"/>
        <w:rPr>
          <w:sz w:val="24"/>
          <w:szCs w:val="24"/>
        </w:rPr>
      </w:pPr>
    </w:p>
    <w:p w:rsidR="00CA7007" w:rsidRPr="002F467D" w:rsidRDefault="00B60322" w:rsidP="00573E89">
      <w:pPr>
        <w:spacing w:line="320" w:lineRule="atLeast"/>
        <w:jc w:val="center"/>
        <w:rPr>
          <w:i/>
          <w:sz w:val="24"/>
          <w:szCs w:val="24"/>
        </w:rPr>
      </w:pPr>
      <w:r>
        <w:rPr>
          <w:noProof/>
        </w:rPr>
        <w:lastRenderedPageBreak/>
        <w:drawing>
          <wp:anchor distT="0" distB="0" distL="114300" distR="114300" simplePos="0" relativeHeight="251659264" behindDoc="0" locked="0" layoutInCell="1" allowOverlap="1">
            <wp:simplePos x="0" y="0"/>
            <wp:positionH relativeFrom="column">
              <wp:posOffset>1055370</wp:posOffset>
            </wp:positionH>
            <wp:positionV relativeFrom="paragraph">
              <wp:posOffset>2540</wp:posOffset>
            </wp:positionV>
            <wp:extent cx="3833495" cy="2954020"/>
            <wp:effectExtent l="0" t="0" r="0" b="0"/>
            <wp:wrapTopAndBottom/>
            <wp:docPr id="3" name="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3495" cy="2954020"/>
                    </a:xfrm>
                    <a:prstGeom prst="rect">
                      <a:avLst/>
                    </a:prstGeom>
                    <a:noFill/>
                  </pic:spPr>
                </pic:pic>
              </a:graphicData>
            </a:graphic>
            <wp14:sizeRelH relativeFrom="page">
              <wp14:pctWidth>0</wp14:pctWidth>
            </wp14:sizeRelH>
            <wp14:sizeRelV relativeFrom="page">
              <wp14:pctHeight>0</wp14:pctHeight>
            </wp14:sizeRelV>
          </wp:anchor>
        </w:drawing>
      </w:r>
      <w:r w:rsidR="00092D11">
        <w:rPr>
          <w:i/>
          <w:sz w:val="24"/>
          <w:szCs w:val="24"/>
        </w:rPr>
        <w:pict>
          <v:rect id="_x0000_i1028" style="width:0;height:1.5pt" o:hralign="center" o:hrstd="t" o:hr="t" fillcolor="#a0a0a0" stroked="f"/>
        </w:pict>
      </w:r>
    </w:p>
    <w:p w:rsidR="00CA7007" w:rsidRDefault="00CA7007" w:rsidP="00B60322">
      <w:pPr>
        <w:spacing w:line="320" w:lineRule="atLeast"/>
        <w:rPr>
          <w:sz w:val="24"/>
          <w:szCs w:val="24"/>
        </w:rPr>
      </w:pPr>
      <w:r w:rsidRPr="00B60322">
        <w:rPr>
          <w:sz w:val="24"/>
          <w:szCs w:val="24"/>
        </w:rPr>
        <w:t>Fig</w:t>
      </w:r>
      <w:r>
        <w:rPr>
          <w:sz w:val="24"/>
          <w:szCs w:val="24"/>
        </w:rPr>
        <w:t>ure</w:t>
      </w:r>
      <w:r w:rsidRPr="00B60322">
        <w:rPr>
          <w:sz w:val="24"/>
          <w:szCs w:val="24"/>
        </w:rPr>
        <w:t xml:space="preserve"> 2. Victorian authors</w:t>
      </w:r>
      <w:r>
        <w:rPr>
          <w:sz w:val="24"/>
          <w:szCs w:val="24"/>
        </w:rPr>
        <w:t>.</w:t>
      </w:r>
    </w:p>
    <w:p w:rsidR="00CA7007" w:rsidRPr="00573E89" w:rsidRDefault="00CA7007" w:rsidP="00573E89">
      <w:pPr>
        <w:spacing w:line="320" w:lineRule="atLeast"/>
        <w:jc w:val="center"/>
        <w:rPr>
          <w:sz w:val="24"/>
          <w:szCs w:val="24"/>
        </w:rPr>
      </w:pPr>
    </w:p>
    <w:p w:rsidR="00CA7007" w:rsidRPr="002F467D" w:rsidRDefault="00CA7007" w:rsidP="00573E89">
      <w:pPr>
        <w:spacing w:line="320" w:lineRule="atLeast"/>
        <w:jc w:val="center"/>
        <w:rPr>
          <w:sz w:val="24"/>
          <w:szCs w:val="24"/>
        </w:rPr>
      </w:pPr>
    </w:p>
    <w:p w:rsidR="00CA7007" w:rsidRPr="002F467D" w:rsidRDefault="00B60322" w:rsidP="00573E89">
      <w:pPr>
        <w:spacing w:line="320" w:lineRule="atLeast"/>
        <w:jc w:val="center"/>
        <w:rPr>
          <w:i/>
          <w:sz w:val="24"/>
          <w:szCs w:val="24"/>
        </w:rPr>
      </w:pPr>
      <w:r>
        <w:rPr>
          <w:noProof/>
        </w:rPr>
        <w:drawing>
          <wp:anchor distT="0" distB="0" distL="114300" distR="114300" simplePos="0" relativeHeight="251660288" behindDoc="0" locked="0" layoutInCell="1" allowOverlap="1">
            <wp:simplePos x="0" y="0"/>
            <wp:positionH relativeFrom="column">
              <wp:posOffset>923290</wp:posOffset>
            </wp:positionH>
            <wp:positionV relativeFrom="paragraph">
              <wp:posOffset>0</wp:posOffset>
            </wp:positionV>
            <wp:extent cx="4097020" cy="3165475"/>
            <wp:effectExtent l="0" t="0" r="0" b="0"/>
            <wp:wrapTopAndBottom/>
            <wp:docPr id="4" name="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7020" cy="3165475"/>
                    </a:xfrm>
                    <a:prstGeom prst="rect">
                      <a:avLst/>
                    </a:prstGeom>
                    <a:noFill/>
                  </pic:spPr>
                </pic:pic>
              </a:graphicData>
            </a:graphic>
            <wp14:sizeRelH relativeFrom="page">
              <wp14:pctWidth>0</wp14:pctWidth>
            </wp14:sizeRelH>
            <wp14:sizeRelV relativeFrom="page">
              <wp14:pctHeight>0</wp14:pctHeight>
            </wp14:sizeRelV>
          </wp:anchor>
        </w:drawing>
      </w:r>
      <w:r w:rsidR="00092D11">
        <w:rPr>
          <w:i/>
          <w:sz w:val="24"/>
          <w:szCs w:val="24"/>
        </w:rPr>
        <w:pict>
          <v:rect id="_x0000_i1029" style="width:0;height:1.5pt" o:hralign="center" o:hrstd="t" o:hr="t" fillcolor="#a0a0a0" stroked="f"/>
        </w:pict>
      </w:r>
    </w:p>
    <w:p w:rsidR="00CA7007" w:rsidRDefault="00CA7007" w:rsidP="00B60322">
      <w:pPr>
        <w:spacing w:line="320" w:lineRule="atLeast"/>
        <w:rPr>
          <w:sz w:val="24"/>
          <w:szCs w:val="24"/>
        </w:rPr>
      </w:pPr>
      <w:r w:rsidRPr="00B60322">
        <w:rPr>
          <w:sz w:val="24"/>
          <w:szCs w:val="24"/>
        </w:rPr>
        <w:t>Fig</w:t>
      </w:r>
      <w:r>
        <w:rPr>
          <w:sz w:val="24"/>
          <w:szCs w:val="24"/>
        </w:rPr>
        <w:t>ure</w:t>
      </w:r>
      <w:r w:rsidRPr="00B60322">
        <w:rPr>
          <w:sz w:val="24"/>
          <w:szCs w:val="24"/>
        </w:rPr>
        <w:t xml:space="preserve"> 3. Modernist authors</w:t>
      </w:r>
      <w:r>
        <w:rPr>
          <w:sz w:val="24"/>
          <w:szCs w:val="24"/>
        </w:rPr>
        <w:t>.</w:t>
      </w:r>
    </w:p>
    <w:p w:rsidR="00CA7007" w:rsidRDefault="00CA7007" w:rsidP="00573E89">
      <w:pPr>
        <w:spacing w:line="320" w:lineRule="atLeast"/>
        <w:jc w:val="center"/>
        <w:rPr>
          <w:sz w:val="24"/>
          <w:szCs w:val="24"/>
        </w:rPr>
      </w:pPr>
    </w:p>
    <w:p w:rsidR="00CA7007" w:rsidRPr="00165F17" w:rsidRDefault="00CA7007" w:rsidP="00573E89">
      <w:pPr>
        <w:spacing w:line="320" w:lineRule="atLeast"/>
        <w:jc w:val="center"/>
        <w:rPr>
          <w:sz w:val="24"/>
          <w:szCs w:val="24"/>
        </w:rPr>
      </w:pPr>
    </w:p>
    <w:p w:rsidR="00CA7007" w:rsidRPr="002F467D" w:rsidRDefault="00CA7007" w:rsidP="00573E89">
      <w:pPr>
        <w:spacing w:line="320" w:lineRule="atLeast"/>
        <w:jc w:val="center"/>
        <w:rPr>
          <w:sz w:val="24"/>
          <w:szCs w:val="24"/>
        </w:rPr>
      </w:pPr>
    </w:p>
    <w:p w:rsidR="00CA7007" w:rsidRPr="002F467D" w:rsidRDefault="00B60322" w:rsidP="00573E89">
      <w:pPr>
        <w:spacing w:line="320" w:lineRule="atLeast"/>
        <w:jc w:val="center"/>
        <w:rPr>
          <w:i/>
          <w:sz w:val="24"/>
          <w:szCs w:val="24"/>
        </w:rPr>
      </w:pPr>
      <w:r>
        <w:rPr>
          <w:noProof/>
        </w:rPr>
        <w:lastRenderedPageBreak/>
        <w:drawing>
          <wp:anchor distT="0" distB="0" distL="114300" distR="114300" simplePos="0" relativeHeight="251661312" behindDoc="0" locked="0" layoutInCell="1" allowOverlap="1">
            <wp:simplePos x="0" y="0"/>
            <wp:positionH relativeFrom="column">
              <wp:posOffset>949325</wp:posOffset>
            </wp:positionH>
            <wp:positionV relativeFrom="paragraph">
              <wp:posOffset>3175</wp:posOffset>
            </wp:positionV>
            <wp:extent cx="4035425" cy="3147695"/>
            <wp:effectExtent l="0" t="0" r="3175" b="0"/>
            <wp:wrapTopAndBottom/>
            <wp:docPr id="5" name="imag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5425" cy="3147695"/>
                    </a:xfrm>
                    <a:prstGeom prst="rect">
                      <a:avLst/>
                    </a:prstGeom>
                    <a:noFill/>
                  </pic:spPr>
                </pic:pic>
              </a:graphicData>
            </a:graphic>
            <wp14:sizeRelH relativeFrom="page">
              <wp14:pctWidth>0</wp14:pctWidth>
            </wp14:sizeRelH>
            <wp14:sizeRelV relativeFrom="page">
              <wp14:pctHeight>0</wp14:pctHeight>
            </wp14:sizeRelV>
          </wp:anchor>
        </w:drawing>
      </w:r>
      <w:r w:rsidR="00092D11">
        <w:rPr>
          <w:i/>
          <w:sz w:val="24"/>
          <w:szCs w:val="24"/>
        </w:rPr>
        <w:pict>
          <v:rect id="_x0000_i1030" style="width:0;height:1.5pt" o:hralign="center" o:hrstd="t" o:hr="t" fillcolor="#a0a0a0" stroked="f"/>
        </w:pict>
      </w:r>
    </w:p>
    <w:p w:rsidR="00CA7007" w:rsidRPr="00165F17" w:rsidRDefault="00CA7007" w:rsidP="00B60322">
      <w:pPr>
        <w:spacing w:line="320" w:lineRule="atLeast"/>
        <w:rPr>
          <w:sz w:val="24"/>
          <w:szCs w:val="24"/>
        </w:rPr>
      </w:pPr>
      <w:r w:rsidRPr="00B60322">
        <w:rPr>
          <w:sz w:val="24"/>
          <w:szCs w:val="24"/>
        </w:rPr>
        <w:t>Fig</w:t>
      </w:r>
      <w:r>
        <w:rPr>
          <w:sz w:val="24"/>
          <w:szCs w:val="24"/>
        </w:rPr>
        <w:t>ure</w:t>
      </w:r>
      <w:r w:rsidRPr="00B60322">
        <w:rPr>
          <w:sz w:val="24"/>
          <w:szCs w:val="24"/>
        </w:rPr>
        <w:t xml:space="preserve"> 4. Contemporary authors</w:t>
      </w:r>
      <w:r>
        <w:rPr>
          <w:sz w:val="24"/>
          <w:szCs w:val="24"/>
        </w:rPr>
        <w:t>.</w:t>
      </w:r>
    </w:p>
    <w:p w:rsidR="00CA7007" w:rsidRPr="002F467D" w:rsidRDefault="00CA7007" w:rsidP="00573E89">
      <w:pPr>
        <w:spacing w:line="320" w:lineRule="atLeast"/>
        <w:rPr>
          <w:sz w:val="24"/>
          <w:szCs w:val="24"/>
        </w:rPr>
      </w:pPr>
    </w:p>
    <w:p w:rsidR="00CA7007" w:rsidRPr="002F467D" w:rsidRDefault="00CA7007" w:rsidP="00573E89">
      <w:pPr>
        <w:spacing w:line="320" w:lineRule="atLeast"/>
        <w:ind w:firstLine="720"/>
        <w:rPr>
          <w:sz w:val="24"/>
          <w:szCs w:val="24"/>
        </w:rPr>
      </w:pPr>
      <w:r w:rsidRPr="002F467D">
        <w:rPr>
          <w:sz w:val="24"/>
          <w:szCs w:val="24"/>
        </w:rPr>
        <w:t>Our methodological implications do require brief commentary. A Zeta analysis introduces its own inherent limitations, forming as it does a list of words preferred and avoided by one dataset (e.g.</w:t>
      </w:r>
      <w:r>
        <w:rPr>
          <w:sz w:val="24"/>
          <w:szCs w:val="24"/>
        </w:rPr>
        <w:t>,</w:t>
      </w:r>
      <w:r w:rsidRPr="002F467D">
        <w:rPr>
          <w:sz w:val="24"/>
          <w:szCs w:val="24"/>
        </w:rPr>
        <w:t xml:space="preserve"> female literature) insofar as they relate to another dataset (e.g.</w:t>
      </w:r>
      <w:r>
        <w:rPr>
          <w:sz w:val="24"/>
          <w:szCs w:val="24"/>
        </w:rPr>
        <w:t>,</w:t>
      </w:r>
      <w:r w:rsidRPr="002F467D">
        <w:rPr>
          <w:sz w:val="24"/>
          <w:szCs w:val="24"/>
        </w:rPr>
        <w:t xml:space="preserve"> male literature). In Delta, the data speaks for itself, whereas in Zeta we use a mode of classification, so the separation we receive is partly a result of our dataset preparation. Rather than the data establishing its own distinctions, we (in a way) privilege and impose the gender split in our separation of the male and female datasets. There are literary and mathematical justifications for this, but it is worth acknowledging, and certainly worth discussing in the context of a gender-specific study. However, taking into account the data from our Delta analysis, the results of which turned up inconclusive, the subsequent Zeta can be seen to merely refine an already existent pattern. That being said, this particularity is something we will focus on further as we fine-tune our analysis for presentation. In doing so, we will computationally compare results across all of the lists, including Hoover’s, to see if any correlations may have been missed in this initial stage, which will ultimately allow us to conduct a closer analysis of the distinctive gender markers.</w:t>
      </w:r>
    </w:p>
    <w:p w:rsidR="00CA7007" w:rsidRPr="002F467D" w:rsidRDefault="00CA7007" w:rsidP="00573E89">
      <w:pPr>
        <w:spacing w:line="320" w:lineRule="atLeast"/>
        <w:rPr>
          <w:sz w:val="24"/>
          <w:szCs w:val="24"/>
        </w:rPr>
      </w:pPr>
    </w:p>
    <w:p w:rsidR="00CA7007" w:rsidRPr="002F467D" w:rsidRDefault="00CA7007" w:rsidP="00573E89">
      <w:pPr>
        <w:pStyle w:val="Heading1"/>
        <w:spacing w:line="320" w:lineRule="atLeast"/>
        <w:rPr>
          <w:sz w:val="24"/>
          <w:szCs w:val="24"/>
        </w:rPr>
      </w:pPr>
      <w:bookmarkStart w:id="3" w:name="h.1fob9te" w:colFirst="0" w:colLast="0"/>
      <w:bookmarkEnd w:id="3"/>
      <w:r w:rsidRPr="002F467D">
        <w:rPr>
          <w:sz w:val="24"/>
          <w:szCs w:val="24"/>
        </w:rPr>
        <w:t>Conclusions</w:t>
      </w:r>
    </w:p>
    <w:p w:rsidR="00CA7007" w:rsidRPr="002F467D" w:rsidRDefault="00CA7007" w:rsidP="00573E89">
      <w:pPr>
        <w:spacing w:line="320" w:lineRule="atLeast"/>
        <w:rPr>
          <w:sz w:val="24"/>
          <w:szCs w:val="24"/>
        </w:rPr>
      </w:pPr>
      <w:r w:rsidRPr="002F467D">
        <w:rPr>
          <w:sz w:val="24"/>
          <w:szCs w:val="24"/>
        </w:rPr>
        <w:t xml:space="preserve">Worth noting is that the ongoing dispute in literary studies concerned with gender and writing style is wide and varied, and the scope of our </w:t>
      </w:r>
      <w:r w:rsidRPr="002F467D">
        <w:rPr>
          <w:color w:val="auto"/>
          <w:sz w:val="24"/>
          <w:szCs w:val="24"/>
        </w:rPr>
        <w:t xml:space="preserve">research does not immediately affect the debates </w:t>
      </w:r>
      <w:r w:rsidRPr="002F467D">
        <w:rPr>
          <w:sz w:val="24"/>
          <w:szCs w:val="24"/>
        </w:rPr>
        <w:t xml:space="preserve">of gender theory or the potentiality of a distinct form of </w:t>
      </w:r>
      <w:proofErr w:type="spellStart"/>
      <w:r w:rsidRPr="002F467D">
        <w:rPr>
          <w:i/>
          <w:sz w:val="24"/>
          <w:szCs w:val="24"/>
        </w:rPr>
        <w:t>écriture</w:t>
      </w:r>
      <w:proofErr w:type="spellEnd"/>
      <w:r w:rsidRPr="002F467D">
        <w:rPr>
          <w:i/>
          <w:sz w:val="24"/>
          <w:szCs w:val="24"/>
        </w:rPr>
        <w:t xml:space="preserve"> feminine</w:t>
      </w:r>
      <w:r w:rsidRPr="002F467D">
        <w:rPr>
          <w:sz w:val="24"/>
          <w:szCs w:val="24"/>
        </w:rPr>
        <w:t xml:space="preserve">. In the parameters of such literary discourses, however, our project does provide a quantitative means to approach an </w:t>
      </w:r>
      <w:r w:rsidRPr="002F467D">
        <w:rPr>
          <w:sz w:val="24"/>
          <w:szCs w:val="24"/>
        </w:rPr>
        <w:lastRenderedPageBreak/>
        <w:t xml:space="preserve">overwhelmingly qualitative discussion. Specifically, our preliminary analyses lend evidence to the claims that such gender differences are evident in writing across periods, </w:t>
      </w:r>
      <w:r w:rsidRPr="002F467D">
        <w:rPr>
          <w:color w:val="auto"/>
          <w:sz w:val="24"/>
          <w:szCs w:val="24"/>
        </w:rPr>
        <w:t>but that these differences are less distinguishable depending on the period in question.</w:t>
      </w:r>
    </w:p>
    <w:p w:rsidR="00CA7007" w:rsidRPr="002F467D" w:rsidRDefault="00CA7007" w:rsidP="00573E89">
      <w:pPr>
        <w:spacing w:line="320" w:lineRule="atLeast"/>
        <w:ind w:firstLine="720"/>
        <w:rPr>
          <w:sz w:val="24"/>
          <w:szCs w:val="24"/>
        </w:rPr>
      </w:pPr>
      <w:r w:rsidRPr="002F467D">
        <w:rPr>
          <w:sz w:val="24"/>
          <w:szCs w:val="24"/>
        </w:rPr>
        <w:t xml:space="preserve">Studies that have included multiple genres or mediums in their stylistic analyses and text classifications have concluded that stylistic features often depend more heavily upon genre than gender (Herring and </w:t>
      </w:r>
      <w:proofErr w:type="spellStart"/>
      <w:r w:rsidRPr="002F467D">
        <w:rPr>
          <w:sz w:val="24"/>
          <w:szCs w:val="24"/>
        </w:rPr>
        <w:t>Paolilo</w:t>
      </w:r>
      <w:proofErr w:type="spellEnd"/>
      <w:r>
        <w:rPr>
          <w:sz w:val="24"/>
          <w:szCs w:val="24"/>
        </w:rPr>
        <w:t>,</w:t>
      </w:r>
      <w:r w:rsidRPr="002F467D">
        <w:rPr>
          <w:sz w:val="24"/>
          <w:szCs w:val="24"/>
        </w:rPr>
        <w:t xml:space="preserve"> 2006; Janssen and </w:t>
      </w:r>
      <w:proofErr w:type="spellStart"/>
      <w:r w:rsidRPr="002F467D">
        <w:rPr>
          <w:sz w:val="24"/>
          <w:szCs w:val="24"/>
        </w:rPr>
        <w:t>Murachver</w:t>
      </w:r>
      <w:proofErr w:type="spellEnd"/>
      <w:r>
        <w:rPr>
          <w:sz w:val="24"/>
          <w:szCs w:val="24"/>
        </w:rPr>
        <w:t>,</w:t>
      </w:r>
      <w:r w:rsidRPr="002F467D">
        <w:rPr>
          <w:sz w:val="24"/>
          <w:szCs w:val="24"/>
        </w:rPr>
        <w:t xml:space="preserve"> 2004; </w:t>
      </w:r>
      <w:proofErr w:type="spellStart"/>
      <w:r w:rsidRPr="002F467D">
        <w:rPr>
          <w:sz w:val="24"/>
          <w:szCs w:val="24"/>
        </w:rPr>
        <w:t>Argamon</w:t>
      </w:r>
      <w:proofErr w:type="spellEnd"/>
      <w:r w:rsidRPr="002F467D">
        <w:rPr>
          <w:sz w:val="24"/>
          <w:szCs w:val="24"/>
        </w:rPr>
        <w:t xml:space="preserve"> et al.</w:t>
      </w:r>
      <w:r>
        <w:rPr>
          <w:sz w:val="24"/>
          <w:szCs w:val="24"/>
        </w:rPr>
        <w:t>,</w:t>
      </w:r>
      <w:r w:rsidRPr="002F467D">
        <w:rPr>
          <w:sz w:val="24"/>
          <w:szCs w:val="24"/>
        </w:rPr>
        <w:t xml:space="preserve"> 2003). Yet what these studies have consistently shown is that gender and genre </w:t>
      </w:r>
      <w:r>
        <w:rPr>
          <w:sz w:val="24"/>
          <w:szCs w:val="24"/>
        </w:rPr>
        <w:t xml:space="preserve">both </w:t>
      </w:r>
      <w:r w:rsidRPr="002F467D">
        <w:rPr>
          <w:sz w:val="24"/>
          <w:szCs w:val="24"/>
        </w:rPr>
        <w:t>seem to reveal stylistic and thematic qualities historically associated with male and female language application. Our goal in limiting the mode of our corpus to fiction novels (and novel-length collections of short stories) is to refine the results of prior studies with more generalized scopes (e.g.</w:t>
      </w:r>
      <w:r>
        <w:rPr>
          <w:sz w:val="24"/>
          <w:szCs w:val="24"/>
        </w:rPr>
        <w:t>,</w:t>
      </w:r>
      <w:r w:rsidRPr="002F467D">
        <w:rPr>
          <w:sz w:val="24"/>
          <w:szCs w:val="24"/>
        </w:rPr>
        <w:t xml:space="preserve"> Koppel et al.</w:t>
      </w:r>
      <w:r>
        <w:rPr>
          <w:sz w:val="24"/>
          <w:szCs w:val="24"/>
        </w:rPr>
        <w:t>,</w:t>
      </w:r>
      <w:r w:rsidRPr="002F467D">
        <w:rPr>
          <w:sz w:val="24"/>
          <w:szCs w:val="24"/>
        </w:rPr>
        <w:t xml:space="preserve"> 2002; </w:t>
      </w:r>
      <w:proofErr w:type="spellStart"/>
      <w:r w:rsidRPr="002F467D">
        <w:rPr>
          <w:sz w:val="24"/>
          <w:szCs w:val="24"/>
        </w:rPr>
        <w:t>Argamon</w:t>
      </w:r>
      <w:proofErr w:type="spellEnd"/>
      <w:r w:rsidRPr="002F467D">
        <w:rPr>
          <w:sz w:val="24"/>
          <w:szCs w:val="24"/>
        </w:rPr>
        <w:t xml:space="preserve"> et al.</w:t>
      </w:r>
      <w:r>
        <w:rPr>
          <w:sz w:val="24"/>
          <w:szCs w:val="24"/>
        </w:rPr>
        <w:t>,</w:t>
      </w:r>
      <w:r w:rsidRPr="002F467D">
        <w:rPr>
          <w:sz w:val="24"/>
          <w:szCs w:val="24"/>
        </w:rPr>
        <w:t xml:space="preserve"> 2003) and place similar conclusions within a </w:t>
      </w:r>
      <w:proofErr w:type="spellStart"/>
      <w:r w:rsidRPr="002F467D">
        <w:rPr>
          <w:sz w:val="24"/>
          <w:szCs w:val="24"/>
        </w:rPr>
        <w:t>periodized</w:t>
      </w:r>
      <w:proofErr w:type="spellEnd"/>
      <w:r w:rsidRPr="002F467D">
        <w:rPr>
          <w:sz w:val="24"/>
          <w:szCs w:val="24"/>
        </w:rPr>
        <w:t xml:space="preserve"> context, ideally providing ample opportunity for literary application.</w:t>
      </w:r>
    </w:p>
    <w:p w:rsidR="00CA7007" w:rsidRPr="002F467D" w:rsidRDefault="00CA7007" w:rsidP="00573E89">
      <w:pPr>
        <w:spacing w:line="320" w:lineRule="atLeast"/>
        <w:ind w:firstLine="720"/>
        <w:rPr>
          <w:sz w:val="24"/>
          <w:szCs w:val="24"/>
        </w:rPr>
      </w:pPr>
      <w:r w:rsidRPr="002F467D">
        <w:rPr>
          <w:sz w:val="24"/>
          <w:szCs w:val="24"/>
        </w:rPr>
        <w:t>While we follow in the methodological footsteps of such studies, we have shifted the focus of our investigation away from style, in the macro-analytical sense, to period and its relation to gender-differentiable terminology. A number of projects (</w:t>
      </w:r>
      <w:proofErr w:type="spellStart"/>
      <w:r w:rsidRPr="002F467D">
        <w:rPr>
          <w:sz w:val="24"/>
          <w:szCs w:val="24"/>
        </w:rPr>
        <w:t>Argamon</w:t>
      </w:r>
      <w:proofErr w:type="spellEnd"/>
      <w:r w:rsidRPr="002F467D">
        <w:rPr>
          <w:sz w:val="24"/>
          <w:szCs w:val="24"/>
        </w:rPr>
        <w:t xml:space="preserve"> et al.</w:t>
      </w:r>
      <w:r>
        <w:rPr>
          <w:sz w:val="24"/>
          <w:szCs w:val="24"/>
        </w:rPr>
        <w:t>,</w:t>
      </w:r>
      <w:r w:rsidRPr="002F467D">
        <w:rPr>
          <w:sz w:val="24"/>
          <w:szCs w:val="24"/>
        </w:rPr>
        <w:t xml:space="preserve"> 2003; Burrows</w:t>
      </w:r>
      <w:r>
        <w:rPr>
          <w:sz w:val="24"/>
          <w:szCs w:val="24"/>
        </w:rPr>
        <w:t>,</w:t>
      </w:r>
      <w:r w:rsidRPr="002F467D">
        <w:rPr>
          <w:sz w:val="24"/>
          <w:szCs w:val="24"/>
        </w:rPr>
        <w:t xml:space="preserve"> 2004; </w:t>
      </w:r>
      <w:proofErr w:type="spellStart"/>
      <w:r w:rsidRPr="002F467D">
        <w:rPr>
          <w:sz w:val="24"/>
          <w:szCs w:val="24"/>
        </w:rPr>
        <w:t>Schler</w:t>
      </w:r>
      <w:proofErr w:type="spellEnd"/>
      <w:r w:rsidRPr="002F467D">
        <w:rPr>
          <w:sz w:val="24"/>
          <w:szCs w:val="24"/>
        </w:rPr>
        <w:t xml:space="preserve"> et al.</w:t>
      </w:r>
      <w:r>
        <w:rPr>
          <w:sz w:val="24"/>
          <w:szCs w:val="24"/>
        </w:rPr>
        <w:t>,</w:t>
      </w:r>
      <w:r w:rsidRPr="002F467D">
        <w:rPr>
          <w:sz w:val="24"/>
          <w:szCs w:val="24"/>
        </w:rPr>
        <w:t xml:space="preserve"> 2005; </w:t>
      </w:r>
      <w:proofErr w:type="spellStart"/>
      <w:r w:rsidRPr="002F467D">
        <w:rPr>
          <w:sz w:val="24"/>
          <w:szCs w:val="24"/>
        </w:rPr>
        <w:t>Pennebaker</w:t>
      </w:r>
      <w:proofErr w:type="spellEnd"/>
      <w:r>
        <w:rPr>
          <w:sz w:val="24"/>
          <w:szCs w:val="24"/>
        </w:rPr>
        <w:t>, 2011</w:t>
      </w:r>
      <w:r w:rsidRPr="002F467D">
        <w:rPr>
          <w:sz w:val="24"/>
          <w:szCs w:val="24"/>
        </w:rPr>
        <w:t xml:space="preserve">) have concluded that the use of function words—pronouns (taken customarily as female markers) and determiners and prepositions (taken customarily as male markers)—provide a reliable basis for gender identification in writing. None of them, markedly, has sufficiently addressed the issue of modernity and the evolution of language and its changes over time, though Hoover has suggested that this is the way forward. Our research separates from such work in that we aim to do just that: distinguish how gender differences have evolved over and between selections of specified, canonical literary periods, focusing on distinct, rather than functional, word choices. Admittedly, this is a first step, and akin to Hoover in his initial study, we acknowledge the need for a larger corpus and more refined dataset—this, of course, is the constant nature of the computational beast. But we can at least view this is a next step. </w:t>
      </w:r>
    </w:p>
    <w:p w:rsidR="00CA7007" w:rsidRPr="002F467D" w:rsidRDefault="00CA7007" w:rsidP="00573E89">
      <w:pPr>
        <w:spacing w:line="320" w:lineRule="atLeast"/>
        <w:rPr>
          <w:sz w:val="24"/>
          <w:szCs w:val="24"/>
        </w:rPr>
      </w:pPr>
      <w:bookmarkStart w:id="4" w:name="h.3znysh7" w:colFirst="0" w:colLast="0"/>
      <w:bookmarkEnd w:id="4"/>
    </w:p>
    <w:p w:rsidR="00CA7007" w:rsidRPr="002F467D" w:rsidRDefault="00CA7007" w:rsidP="00573E89">
      <w:pPr>
        <w:pStyle w:val="Heading1"/>
        <w:spacing w:line="320" w:lineRule="atLeast"/>
        <w:rPr>
          <w:sz w:val="24"/>
          <w:szCs w:val="24"/>
        </w:rPr>
      </w:pPr>
      <w:bookmarkStart w:id="5" w:name="h.2et92p0" w:colFirst="0" w:colLast="0"/>
      <w:bookmarkEnd w:id="5"/>
      <w:r w:rsidRPr="002F467D">
        <w:rPr>
          <w:sz w:val="24"/>
          <w:szCs w:val="24"/>
        </w:rPr>
        <w:t>References</w:t>
      </w:r>
    </w:p>
    <w:p w:rsidR="00CA7007" w:rsidRPr="002F467D" w:rsidRDefault="00CA7007" w:rsidP="00573E89">
      <w:pPr>
        <w:spacing w:line="320" w:lineRule="atLeast"/>
        <w:rPr>
          <w:sz w:val="24"/>
          <w:szCs w:val="24"/>
        </w:rPr>
      </w:pPr>
      <w:proofErr w:type="spellStart"/>
      <w:r w:rsidRPr="002F467D">
        <w:rPr>
          <w:b/>
          <w:sz w:val="24"/>
          <w:szCs w:val="24"/>
        </w:rPr>
        <w:t>Argamon</w:t>
      </w:r>
      <w:proofErr w:type="spellEnd"/>
      <w:r w:rsidRPr="002F467D">
        <w:rPr>
          <w:b/>
          <w:sz w:val="24"/>
          <w:szCs w:val="24"/>
        </w:rPr>
        <w:t>, S</w:t>
      </w:r>
      <w:r>
        <w:rPr>
          <w:b/>
          <w:sz w:val="24"/>
          <w:szCs w:val="24"/>
        </w:rPr>
        <w:t>.</w:t>
      </w:r>
      <w:r w:rsidRPr="002F467D">
        <w:rPr>
          <w:b/>
          <w:sz w:val="24"/>
          <w:szCs w:val="24"/>
        </w:rPr>
        <w:t xml:space="preserve">, Koppel, </w:t>
      </w:r>
      <w:r>
        <w:rPr>
          <w:b/>
          <w:sz w:val="24"/>
          <w:szCs w:val="24"/>
        </w:rPr>
        <w:t xml:space="preserve">M., </w:t>
      </w:r>
      <w:r w:rsidRPr="002F467D">
        <w:rPr>
          <w:b/>
          <w:sz w:val="24"/>
          <w:szCs w:val="24"/>
        </w:rPr>
        <w:t xml:space="preserve">Fine, </w:t>
      </w:r>
      <w:r>
        <w:rPr>
          <w:b/>
          <w:sz w:val="24"/>
          <w:szCs w:val="24"/>
        </w:rPr>
        <w:t xml:space="preserve">J. </w:t>
      </w:r>
      <w:r w:rsidRPr="002F467D">
        <w:rPr>
          <w:b/>
          <w:sz w:val="24"/>
          <w:szCs w:val="24"/>
        </w:rPr>
        <w:t xml:space="preserve">and </w:t>
      </w:r>
      <w:proofErr w:type="spellStart"/>
      <w:r w:rsidRPr="002F467D">
        <w:rPr>
          <w:b/>
          <w:sz w:val="24"/>
          <w:szCs w:val="24"/>
        </w:rPr>
        <w:t>Shimoni</w:t>
      </w:r>
      <w:proofErr w:type="spellEnd"/>
      <w:r>
        <w:rPr>
          <w:b/>
          <w:sz w:val="24"/>
          <w:szCs w:val="24"/>
        </w:rPr>
        <w:t>, A. R.</w:t>
      </w:r>
      <w:r w:rsidRPr="002F467D">
        <w:rPr>
          <w:b/>
          <w:sz w:val="24"/>
          <w:szCs w:val="24"/>
        </w:rPr>
        <w:t xml:space="preserve"> </w:t>
      </w:r>
      <w:r w:rsidRPr="00B60322">
        <w:rPr>
          <w:sz w:val="24"/>
          <w:szCs w:val="24"/>
        </w:rPr>
        <w:t>(2003).</w:t>
      </w:r>
      <w:r w:rsidRPr="002F467D">
        <w:rPr>
          <w:sz w:val="24"/>
          <w:szCs w:val="24"/>
        </w:rPr>
        <w:t xml:space="preserve"> Gender, </w:t>
      </w:r>
      <w:r>
        <w:rPr>
          <w:sz w:val="24"/>
          <w:szCs w:val="24"/>
        </w:rPr>
        <w:t>G</w:t>
      </w:r>
      <w:r w:rsidRPr="002F467D">
        <w:rPr>
          <w:sz w:val="24"/>
          <w:szCs w:val="24"/>
        </w:rPr>
        <w:t xml:space="preserve">enre, and </w:t>
      </w:r>
      <w:r>
        <w:rPr>
          <w:sz w:val="24"/>
          <w:szCs w:val="24"/>
        </w:rPr>
        <w:t>W</w:t>
      </w:r>
      <w:r w:rsidRPr="002F467D">
        <w:rPr>
          <w:sz w:val="24"/>
          <w:szCs w:val="24"/>
        </w:rPr>
        <w:t xml:space="preserve">riting </w:t>
      </w:r>
      <w:r>
        <w:rPr>
          <w:sz w:val="24"/>
          <w:szCs w:val="24"/>
        </w:rPr>
        <w:t>S</w:t>
      </w:r>
      <w:r w:rsidRPr="002F467D">
        <w:rPr>
          <w:sz w:val="24"/>
          <w:szCs w:val="24"/>
        </w:rPr>
        <w:t xml:space="preserve">tyle in </w:t>
      </w:r>
      <w:r>
        <w:rPr>
          <w:sz w:val="24"/>
          <w:szCs w:val="24"/>
        </w:rPr>
        <w:t>F</w:t>
      </w:r>
      <w:r w:rsidRPr="002F467D">
        <w:rPr>
          <w:sz w:val="24"/>
          <w:szCs w:val="24"/>
        </w:rPr>
        <w:t xml:space="preserve">ormal </w:t>
      </w:r>
      <w:r>
        <w:rPr>
          <w:sz w:val="24"/>
          <w:szCs w:val="24"/>
        </w:rPr>
        <w:t>W</w:t>
      </w:r>
      <w:r w:rsidRPr="002F467D">
        <w:rPr>
          <w:sz w:val="24"/>
          <w:szCs w:val="24"/>
        </w:rPr>
        <w:t xml:space="preserve">ritten </w:t>
      </w:r>
      <w:r>
        <w:rPr>
          <w:sz w:val="24"/>
          <w:szCs w:val="24"/>
        </w:rPr>
        <w:t>T</w:t>
      </w:r>
      <w:r w:rsidRPr="002F467D">
        <w:rPr>
          <w:sz w:val="24"/>
          <w:szCs w:val="24"/>
        </w:rPr>
        <w:t xml:space="preserve">exts. </w:t>
      </w:r>
      <w:r w:rsidRPr="002F467D">
        <w:rPr>
          <w:i/>
          <w:sz w:val="24"/>
          <w:szCs w:val="24"/>
        </w:rPr>
        <w:t>Text</w:t>
      </w:r>
      <w:r>
        <w:rPr>
          <w:i/>
          <w:sz w:val="24"/>
          <w:szCs w:val="24"/>
        </w:rPr>
        <w:t>,</w:t>
      </w:r>
      <w:r w:rsidRPr="002F467D">
        <w:rPr>
          <w:sz w:val="24"/>
          <w:szCs w:val="24"/>
        </w:rPr>
        <w:t xml:space="preserve"> </w:t>
      </w:r>
      <w:r w:rsidRPr="00B60322">
        <w:rPr>
          <w:b/>
          <w:sz w:val="24"/>
          <w:szCs w:val="24"/>
        </w:rPr>
        <w:t>23</w:t>
      </w:r>
      <w:r w:rsidRPr="002F467D">
        <w:rPr>
          <w:sz w:val="24"/>
          <w:szCs w:val="24"/>
        </w:rPr>
        <w:t>(3): 321–46.</w:t>
      </w:r>
    </w:p>
    <w:p w:rsidR="00CA7007" w:rsidRPr="002F467D" w:rsidRDefault="00CA7007" w:rsidP="00165F17">
      <w:pPr>
        <w:spacing w:line="320" w:lineRule="atLeast"/>
        <w:rPr>
          <w:sz w:val="24"/>
          <w:szCs w:val="24"/>
        </w:rPr>
      </w:pPr>
      <w:r w:rsidRPr="002F467D">
        <w:rPr>
          <w:b/>
          <w:sz w:val="24"/>
          <w:szCs w:val="24"/>
        </w:rPr>
        <w:t xml:space="preserve">Burrows, J. </w:t>
      </w:r>
      <w:r w:rsidRPr="00573E89">
        <w:rPr>
          <w:sz w:val="24"/>
          <w:szCs w:val="24"/>
        </w:rPr>
        <w:t>(2004).</w:t>
      </w:r>
      <w:r w:rsidRPr="002F467D">
        <w:rPr>
          <w:sz w:val="24"/>
          <w:szCs w:val="24"/>
        </w:rPr>
        <w:t xml:space="preserve"> Textual Analysis.</w:t>
      </w:r>
      <w:r>
        <w:rPr>
          <w:sz w:val="24"/>
          <w:szCs w:val="24"/>
        </w:rPr>
        <w:t xml:space="preserve"> In</w:t>
      </w:r>
      <w:r w:rsidRPr="002F467D">
        <w:rPr>
          <w:sz w:val="24"/>
          <w:szCs w:val="24"/>
        </w:rPr>
        <w:t xml:space="preserve"> </w:t>
      </w:r>
      <w:proofErr w:type="spellStart"/>
      <w:r w:rsidRPr="002F467D">
        <w:rPr>
          <w:sz w:val="24"/>
          <w:szCs w:val="24"/>
        </w:rPr>
        <w:t>Schreibman</w:t>
      </w:r>
      <w:proofErr w:type="spellEnd"/>
      <w:r w:rsidRPr="002F467D">
        <w:rPr>
          <w:sz w:val="24"/>
          <w:szCs w:val="24"/>
        </w:rPr>
        <w:t xml:space="preserve">, </w:t>
      </w:r>
      <w:r>
        <w:rPr>
          <w:sz w:val="24"/>
          <w:szCs w:val="24"/>
        </w:rPr>
        <w:t>S., Sieme</w:t>
      </w:r>
      <w:r w:rsidRPr="002F467D">
        <w:rPr>
          <w:sz w:val="24"/>
          <w:szCs w:val="24"/>
        </w:rPr>
        <w:t xml:space="preserve">ns, </w:t>
      </w:r>
      <w:r>
        <w:rPr>
          <w:sz w:val="24"/>
          <w:szCs w:val="24"/>
        </w:rPr>
        <w:t xml:space="preserve">R. </w:t>
      </w:r>
      <w:r w:rsidRPr="002F467D">
        <w:rPr>
          <w:sz w:val="24"/>
          <w:szCs w:val="24"/>
        </w:rPr>
        <w:t xml:space="preserve">and </w:t>
      </w:r>
      <w:proofErr w:type="spellStart"/>
      <w:r w:rsidRPr="002F467D">
        <w:rPr>
          <w:sz w:val="24"/>
          <w:szCs w:val="24"/>
        </w:rPr>
        <w:t>Unsworth</w:t>
      </w:r>
      <w:proofErr w:type="spellEnd"/>
      <w:r>
        <w:rPr>
          <w:sz w:val="24"/>
          <w:szCs w:val="24"/>
        </w:rPr>
        <w:t>, J. (</w:t>
      </w:r>
      <w:proofErr w:type="spellStart"/>
      <w:r>
        <w:rPr>
          <w:sz w:val="24"/>
          <w:szCs w:val="24"/>
        </w:rPr>
        <w:t>eds</w:t>
      </w:r>
      <w:proofErr w:type="spellEnd"/>
      <w:r>
        <w:rPr>
          <w:sz w:val="24"/>
          <w:szCs w:val="24"/>
        </w:rPr>
        <w:t>),</w:t>
      </w:r>
      <w:r w:rsidRPr="002F467D">
        <w:rPr>
          <w:i/>
          <w:sz w:val="24"/>
          <w:szCs w:val="24"/>
        </w:rPr>
        <w:t xml:space="preserve"> A Companion to Digital Humanities</w:t>
      </w:r>
      <w:r w:rsidRPr="002F467D">
        <w:rPr>
          <w:sz w:val="24"/>
          <w:szCs w:val="24"/>
        </w:rPr>
        <w:t>. Oxford: Blackwell.</w:t>
      </w:r>
    </w:p>
    <w:p w:rsidR="00CA7007" w:rsidRPr="002F467D" w:rsidRDefault="00CA7007" w:rsidP="00573E89">
      <w:pPr>
        <w:spacing w:line="320" w:lineRule="atLeast"/>
        <w:rPr>
          <w:sz w:val="24"/>
          <w:szCs w:val="24"/>
        </w:rPr>
      </w:pPr>
      <w:r w:rsidRPr="002F467D">
        <w:rPr>
          <w:b/>
          <w:sz w:val="24"/>
          <w:szCs w:val="24"/>
        </w:rPr>
        <w:t xml:space="preserve">Burrows, J. </w:t>
      </w:r>
      <w:r w:rsidRPr="00B60322">
        <w:rPr>
          <w:sz w:val="24"/>
          <w:szCs w:val="24"/>
        </w:rPr>
        <w:t xml:space="preserve">(2007). </w:t>
      </w:r>
      <w:r w:rsidRPr="002F467D">
        <w:rPr>
          <w:sz w:val="24"/>
          <w:szCs w:val="24"/>
        </w:rPr>
        <w:t xml:space="preserve">All the Way Through: Testing for Authorship in Different Frequency Strata. </w:t>
      </w:r>
      <w:r w:rsidRPr="002F467D">
        <w:rPr>
          <w:i/>
          <w:sz w:val="24"/>
          <w:szCs w:val="24"/>
        </w:rPr>
        <w:t>Literary and Linguistic Computing</w:t>
      </w:r>
      <w:r>
        <w:rPr>
          <w:i/>
          <w:sz w:val="24"/>
          <w:szCs w:val="24"/>
        </w:rPr>
        <w:t>,</w:t>
      </w:r>
      <w:r w:rsidRPr="002F467D">
        <w:rPr>
          <w:sz w:val="24"/>
          <w:szCs w:val="24"/>
        </w:rPr>
        <w:t xml:space="preserve"> </w:t>
      </w:r>
      <w:r w:rsidRPr="00B60322">
        <w:rPr>
          <w:b/>
          <w:sz w:val="24"/>
          <w:szCs w:val="24"/>
        </w:rPr>
        <w:t>22</w:t>
      </w:r>
      <w:r w:rsidRPr="002F467D">
        <w:rPr>
          <w:sz w:val="24"/>
          <w:szCs w:val="24"/>
        </w:rPr>
        <w:t>(1): 27–47.</w:t>
      </w:r>
    </w:p>
    <w:p w:rsidR="00CA7007" w:rsidRPr="002F467D" w:rsidRDefault="00CA7007" w:rsidP="00573E89">
      <w:pPr>
        <w:spacing w:line="320" w:lineRule="atLeast"/>
        <w:rPr>
          <w:sz w:val="24"/>
          <w:szCs w:val="24"/>
        </w:rPr>
      </w:pPr>
      <w:r w:rsidRPr="002F467D">
        <w:rPr>
          <w:b/>
          <w:sz w:val="24"/>
          <w:szCs w:val="24"/>
        </w:rPr>
        <w:t xml:space="preserve">Eder, M., </w:t>
      </w:r>
      <w:proofErr w:type="spellStart"/>
      <w:r w:rsidRPr="002F467D">
        <w:rPr>
          <w:b/>
          <w:sz w:val="24"/>
          <w:szCs w:val="24"/>
        </w:rPr>
        <w:t>Kestemont</w:t>
      </w:r>
      <w:proofErr w:type="spellEnd"/>
      <w:r w:rsidRPr="002F467D">
        <w:rPr>
          <w:b/>
          <w:sz w:val="24"/>
          <w:szCs w:val="24"/>
        </w:rPr>
        <w:t xml:space="preserve">, M. and </w:t>
      </w:r>
      <w:proofErr w:type="spellStart"/>
      <w:r w:rsidRPr="002F467D">
        <w:rPr>
          <w:b/>
          <w:sz w:val="24"/>
          <w:szCs w:val="24"/>
        </w:rPr>
        <w:t>Rybicki</w:t>
      </w:r>
      <w:proofErr w:type="spellEnd"/>
      <w:r w:rsidRPr="002F467D">
        <w:rPr>
          <w:b/>
          <w:sz w:val="24"/>
          <w:szCs w:val="24"/>
        </w:rPr>
        <w:t xml:space="preserve">, J. </w:t>
      </w:r>
      <w:r w:rsidRPr="00B60322">
        <w:rPr>
          <w:sz w:val="24"/>
          <w:szCs w:val="24"/>
        </w:rPr>
        <w:t xml:space="preserve">(2013). </w:t>
      </w:r>
      <w:proofErr w:type="spellStart"/>
      <w:r w:rsidRPr="002F467D">
        <w:rPr>
          <w:sz w:val="24"/>
          <w:szCs w:val="24"/>
        </w:rPr>
        <w:t>Sylometry</w:t>
      </w:r>
      <w:proofErr w:type="spellEnd"/>
      <w:r w:rsidRPr="002F467D">
        <w:rPr>
          <w:sz w:val="24"/>
          <w:szCs w:val="24"/>
        </w:rPr>
        <w:t xml:space="preserve"> with R: </w:t>
      </w:r>
      <w:r>
        <w:rPr>
          <w:sz w:val="24"/>
          <w:szCs w:val="24"/>
        </w:rPr>
        <w:t>A</w:t>
      </w:r>
      <w:r w:rsidRPr="002F467D">
        <w:rPr>
          <w:sz w:val="24"/>
          <w:szCs w:val="24"/>
        </w:rPr>
        <w:t xml:space="preserve"> </w:t>
      </w:r>
      <w:r>
        <w:rPr>
          <w:sz w:val="24"/>
          <w:szCs w:val="24"/>
        </w:rPr>
        <w:t>S</w:t>
      </w:r>
      <w:r w:rsidRPr="002F467D">
        <w:rPr>
          <w:sz w:val="24"/>
          <w:szCs w:val="24"/>
        </w:rPr>
        <w:t xml:space="preserve">uite of </w:t>
      </w:r>
      <w:r>
        <w:rPr>
          <w:sz w:val="24"/>
          <w:szCs w:val="24"/>
        </w:rPr>
        <w:t>T</w:t>
      </w:r>
      <w:r w:rsidRPr="002F467D">
        <w:rPr>
          <w:sz w:val="24"/>
          <w:szCs w:val="24"/>
        </w:rPr>
        <w:t xml:space="preserve">ools. In </w:t>
      </w:r>
      <w:r w:rsidRPr="002F467D">
        <w:rPr>
          <w:i/>
          <w:sz w:val="24"/>
          <w:szCs w:val="24"/>
        </w:rPr>
        <w:t>Digital Humanities 2013: Conference Abstracts</w:t>
      </w:r>
      <w:r>
        <w:rPr>
          <w:sz w:val="24"/>
          <w:szCs w:val="24"/>
        </w:rPr>
        <w:t xml:space="preserve">, </w:t>
      </w:r>
      <w:r w:rsidRPr="002F467D">
        <w:rPr>
          <w:sz w:val="24"/>
          <w:szCs w:val="24"/>
        </w:rPr>
        <w:t>University of Nebraska</w:t>
      </w:r>
      <w:r>
        <w:rPr>
          <w:sz w:val="24"/>
          <w:szCs w:val="24"/>
        </w:rPr>
        <w:t>–</w:t>
      </w:r>
      <w:r w:rsidRPr="002F467D">
        <w:rPr>
          <w:sz w:val="24"/>
          <w:szCs w:val="24"/>
        </w:rPr>
        <w:t xml:space="preserve">Lincoln, </w:t>
      </w:r>
      <w:r>
        <w:rPr>
          <w:sz w:val="24"/>
          <w:szCs w:val="24"/>
        </w:rPr>
        <w:t xml:space="preserve">pp. </w:t>
      </w:r>
      <w:r w:rsidRPr="002F467D">
        <w:rPr>
          <w:sz w:val="24"/>
          <w:szCs w:val="24"/>
        </w:rPr>
        <w:t>487–89.</w:t>
      </w:r>
      <w:r w:rsidRPr="002F467D">
        <w:rPr>
          <w:b/>
          <w:sz w:val="24"/>
          <w:szCs w:val="24"/>
        </w:rPr>
        <w:t xml:space="preserve">   </w:t>
      </w:r>
      <w:r w:rsidRPr="002F467D">
        <w:rPr>
          <w:b/>
          <w:sz w:val="24"/>
          <w:szCs w:val="24"/>
        </w:rPr>
        <w:tab/>
        <w:t xml:space="preserve">     </w:t>
      </w:r>
    </w:p>
    <w:p w:rsidR="00CA7007" w:rsidRPr="002F467D" w:rsidRDefault="00CA7007" w:rsidP="00573E89">
      <w:pPr>
        <w:spacing w:line="320" w:lineRule="atLeast"/>
        <w:rPr>
          <w:sz w:val="24"/>
          <w:szCs w:val="24"/>
        </w:rPr>
      </w:pPr>
      <w:r w:rsidRPr="002F467D">
        <w:rPr>
          <w:b/>
          <w:sz w:val="24"/>
          <w:szCs w:val="24"/>
        </w:rPr>
        <w:t>Herring, S</w:t>
      </w:r>
      <w:r>
        <w:rPr>
          <w:b/>
          <w:sz w:val="24"/>
          <w:szCs w:val="24"/>
        </w:rPr>
        <w:t xml:space="preserve">. </w:t>
      </w:r>
      <w:r w:rsidRPr="002F467D">
        <w:rPr>
          <w:b/>
          <w:sz w:val="24"/>
          <w:szCs w:val="24"/>
        </w:rPr>
        <w:t xml:space="preserve">C. and </w:t>
      </w:r>
      <w:proofErr w:type="spellStart"/>
      <w:r w:rsidRPr="002F467D">
        <w:rPr>
          <w:b/>
          <w:sz w:val="24"/>
          <w:szCs w:val="24"/>
        </w:rPr>
        <w:t>Paolilo</w:t>
      </w:r>
      <w:proofErr w:type="spellEnd"/>
      <w:r>
        <w:rPr>
          <w:b/>
          <w:sz w:val="24"/>
          <w:szCs w:val="24"/>
        </w:rPr>
        <w:t>, J. C</w:t>
      </w:r>
      <w:r w:rsidRPr="002F467D">
        <w:rPr>
          <w:b/>
          <w:sz w:val="24"/>
          <w:szCs w:val="24"/>
        </w:rPr>
        <w:t xml:space="preserve">. </w:t>
      </w:r>
      <w:r w:rsidRPr="00B60322">
        <w:rPr>
          <w:sz w:val="24"/>
          <w:szCs w:val="24"/>
        </w:rPr>
        <w:t xml:space="preserve">(2006). </w:t>
      </w:r>
      <w:r w:rsidRPr="002F467D">
        <w:rPr>
          <w:sz w:val="24"/>
          <w:szCs w:val="24"/>
        </w:rPr>
        <w:t xml:space="preserve">Gender and Genre Variation in Weblogs. </w:t>
      </w:r>
      <w:r w:rsidRPr="002F467D">
        <w:rPr>
          <w:i/>
          <w:sz w:val="24"/>
          <w:szCs w:val="24"/>
        </w:rPr>
        <w:t>Journal of Sociolinguistics</w:t>
      </w:r>
      <w:r>
        <w:rPr>
          <w:i/>
          <w:sz w:val="24"/>
          <w:szCs w:val="24"/>
        </w:rPr>
        <w:t>,</w:t>
      </w:r>
      <w:r w:rsidRPr="002F467D">
        <w:rPr>
          <w:i/>
          <w:sz w:val="24"/>
          <w:szCs w:val="24"/>
        </w:rPr>
        <w:t xml:space="preserve"> </w:t>
      </w:r>
      <w:r w:rsidRPr="00B60322">
        <w:rPr>
          <w:b/>
          <w:sz w:val="24"/>
          <w:szCs w:val="24"/>
        </w:rPr>
        <w:t>10</w:t>
      </w:r>
      <w:r w:rsidRPr="002F467D">
        <w:rPr>
          <w:sz w:val="24"/>
          <w:szCs w:val="24"/>
        </w:rPr>
        <w:t>(4): 439</w:t>
      </w:r>
      <w:r>
        <w:rPr>
          <w:sz w:val="24"/>
          <w:szCs w:val="24"/>
        </w:rPr>
        <w:t>–</w:t>
      </w:r>
      <w:r w:rsidRPr="002F467D">
        <w:rPr>
          <w:sz w:val="24"/>
          <w:szCs w:val="24"/>
        </w:rPr>
        <w:t>59.</w:t>
      </w:r>
      <w:r w:rsidRPr="002F467D">
        <w:rPr>
          <w:b/>
          <w:sz w:val="24"/>
          <w:szCs w:val="24"/>
        </w:rPr>
        <w:t xml:space="preserve">                                                                                   </w:t>
      </w:r>
      <w:r w:rsidRPr="002F467D">
        <w:rPr>
          <w:b/>
          <w:sz w:val="24"/>
          <w:szCs w:val="24"/>
        </w:rPr>
        <w:tab/>
      </w:r>
    </w:p>
    <w:p w:rsidR="00CA7007" w:rsidRPr="002F467D" w:rsidRDefault="00CA7007" w:rsidP="00573E89">
      <w:pPr>
        <w:spacing w:line="320" w:lineRule="atLeast"/>
        <w:rPr>
          <w:sz w:val="24"/>
          <w:szCs w:val="24"/>
        </w:rPr>
      </w:pPr>
      <w:r w:rsidRPr="002F467D">
        <w:rPr>
          <w:b/>
          <w:sz w:val="24"/>
          <w:szCs w:val="24"/>
        </w:rPr>
        <w:t>Hoover, D</w:t>
      </w:r>
      <w:r>
        <w:rPr>
          <w:b/>
          <w:sz w:val="24"/>
          <w:szCs w:val="24"/>
        </w:rPr>
        <w:t xml:space="preserve">. </w:t>
      </w:r>
      <w:r w:rsidRPr="002F467D">
        <w:rPr>
          <w:b/>
          <w:sz w:val="24"/>
          <w:szCs w:val="24"/>
        </w:rPr>
        <w:t xml:space="preserve">L. </w:t>
      </w:r>
      <w:r w:rsidRPr="00B60322">
        <w:rPr>
          <w:sz w:val="24"/>
          <w:szCs w:val="24"/>
        </w:rPr>
        <w:t>(2008).</w:t>
      </w:r>
      <w:r w:rsidRPr="002F467D">
        <w:rPr>
          <w:sz w:val="24"/>
          <w:szCs w:val="24"/>
        </w:rPr>
        <w:t xml:space="preserve"> Quantitative Analysis and Literary Studies.</w:t>
      </w:r>
      <w:r>
        <w:rPr>
          <w:sz w:val="24"/>
          <w:szCs w:val="24"/>
        </w:rPr>
        <w:t>’</w:t>
      </w:r>
      <w:r w:rsidRPr="002F467D">
        <w:rPr>
          <w:sz w:val="24"/>
          <w:szCs w:val="24"/>
        </w:rPr>
        <w:t xml:space="preserve"> In </w:t>
      </w:r>
      <w:proofErr w:type="spellStart"/>
      <w:r w:rsidRPr="002F467D">
        <w:rPr>
          <w:sz w:val="24"/>
          <w:szCs w:val="24"/>
        </w:rPr>
        <w:t>Schreibman</w:t>
      </w:r>
      <w:proofErr w:type="spellEnd"/>
      <w:r>
        <w:rPr>
          <w:sz w:val="24"/>
          <w:szCs w:val="24"/>
        </w:rPr>
        <w:t>, S.</w:t>
      </w:r>
      <w:r w:rsidRPr="002F467D">
        <w:rPr>
          <w:sz w:val="24"/>
          <w:szCs w:val="24"/>
        </w:rPr>
        <w:t xml:space="preserve"> and Siemens</w:t>
      </w:r>
      <w:r>
        <w:rPr>
          <w:sz w:val="24"/>
          <w:szCs w:val="24"/>
        </w:rPr>
        <w:t>, R. (</w:t>
      </w:r>
      <w:proofErr w:type="spellStart"/>
      <w:r>
        <w:rPr>
          <w:sz w:val="24"/>
          <w:szCs w:val="24"/>
        </w:rPr>
        <w:t>eds</w:t>
      </w:r>
      <w:proofErr w:type="spellEnd"/>
      <w:r>
        <w:rPr>
          <w:sz w:val="24"/>
          <w:szCs w:val="24"/>
        </w:rPr>
        <w:t>),</w:t>
      </w:r>
      <w:r w:rsidRPr="002F467D">
        <w:rPr>
          <w:i/>
          <w:sz w:val="24"/>
          <w:szCs w:val="24"/>
        </w:rPr>
        <w:t xml:space="preserve"> A Companion to Digital Literary Studies</w:t>
      </w:r>
      <w:r>
        <w:rPr>
          <w:sz w:val="24"/>
          <w:szCs w:val="24"/>
        </w:rPr>
        <w:t xml:space="preserve">. </w:t>
      </w:r>
      <w:r w:rsidRPr="002F467D">
        <w:rPr>
          <w:sz w:val="24"/>
          <w:szCs w:val="24"/>
        </w:rPr>
        <w:t>Oxford: Blackwell Publishing</w:t>
      </w:r>
      <w:r>
        <w:rPr>
          <w:sz w:val="24"/>
          <w:szCs w:val="24"/>
        </w:rPr>
        <w:t xml:space="preserve">, pp. </w:t>
      </w:r>
      <w:r>
        <w:rPr>
          <w:sz w:val="24"/>
          <w:szCs w:val="24"/>
        </w:rPr>
        <w:lastRenderedPageBreak/>
        <w:t>517–33.</w:t>
      </w:r>
    </w:p>
    <w:p w:rsidR="00CA7007" w:rsidRPr="002F467D" w:rsidRDefault="00CA7007" w:rsidP="00573E89">
      <w:pPr>
        <w:spacing w:line="320" w:lineRule="atLeast"/>
        <w:rPr>
          <w:sz w:val="24"/>
          <w:szCs w:val="24"/>
        </w:rPr>
      </w:pPr>
      <w:r w:rsidRPr="002F467D">
        <w:rPr>
          <w:b/>
          <w:sz w:val="24"/>
          <w:szCs w:val="24"/>
        </w:rPr>
        <w:t>Hoover, D</w:t>
      </w:r>
      <w:r>
        <w:rPr>
          <w:b/>
          <w:sz w:val="24"/>
          <w:szCs w:val="24"/>
        </w:rPr>
        <w:t xml:space="preserve">. </w:t>
      </w:r>
      <w:r w:rsidRPr="002F467D">
        <w:rPr>
          <w:b/>
          <w:sz w:val="24"/>
          <w:szCs w:val="24"/>
        </w:rPr>
        <w:t xml:space="preserve">L. </w:t>
      </w:r>
      <w:r w:rsidRPr="00B60322">
        <w:rPr>
          <w:sz w:val="24"/>
          <w:szCs w:val="24"/>
        </w:rPr>
        <w:t>(2013).</w:t>
      </w:r>
      <w:r w:rsidRPr="002F467D">
        <w:rPr>
          <w:sz w:val="24"/>
          <w:szCs w:val="24"/>
        </w:rPr>
        <w:t xml:space="preserve"> Textual Analysis. In </w:t>
      </w:r>
      <w:r>
        <w:rPr>
          <w:sz w:val="24"/>
          <w:szCs w:val="24"/>
        </w:rPr>
        <w:t>Price, K. M. and Siemens, R. (</w:t>
      </w:r>
      <w:proofErr w:type="spellStart"/>
      <w:r>
        <w:rPr>
          <w:sz w:val="24"/>
          <w:szCs w:val="24"/>
        </w:rPr>
        <w:t>eds</w:t>
      </w:r>
      <w:proofErr w:type="spellEnd"/>
      <w:r>
        <w:rPr>
          <w:sz w:val="24"/>
          <w:szCs w:val="24"/>
        </w:rPr>
        <w:t xml:space="preserve">), </w:t>
      </w:r>
      <w:r w:rsidRPr="002F467D">
        <w:rPr>
          <w:i/>
          <w:sz w:val="24"/>
          <w:szCs w:val="24"/>
        </w:rPr>
        <w:t>Literary Studies in the Digital Age</w:t>
      </w:r>
      <w:r>
        <w:rPr>
          <w:sz w:val="24"/>
          <w:szCs w:val="24"/>
        </w:rPr>
        <w:t>.</w:t>
      </w:r>
      <w:r w:rsidRPr="002F467D">
        <w:rPr>
          <w:sz w:val="24"/>
          <w:szCs w:val="24"/>
        </w:rPr>
        <w:t xml:space="preserve"> Modern Language Association of America</w:t>
      </w:r>
      <w:r>
        <w:rPr>
          <w:sz w:val="24"/>
          <w:szCs w:val="24"/>
        </w:rPr>
        <w:t xml:space="preserve">, </w:t>
      </w:r>
      <w:hyperlink r:id="rId8"/>
      <w:r w:rsidRPr="00B60322">
        <w:rPr>
          <w:color w:val="auto"/>
          <w:sz w:val="24"/>
          <w:szCs w:val="24"/>
        </w:rPr>
        <w:t>http://dlsanthology.commons.mla.org/textual-analysis/.</w:t>
      </w:r>
    </w:p>
    <w:p w:rsidR="00CA7007" w:rsidRPr="002F467D" w:rsidRDefault="00CA7007" w:rsidP="00573E89">
      <w:pPr>
        <w:spacing w:line="320" w:lineRule="atLeast"/>
        <w:rPr>
          <w:sz w:val="24"/>
          <w:szCs w:val="24"/>
        </w:rPr>
      </w:pPr>
      <w:r w:rsidRPr="002F467D">
        <w:rPr>
          <w:b/>
          <w:sz w:val="24"/>
          <w:szCs w:val="24"/>
        </w:rPr>
        <w:t>Janssen, A</w:t>
      </w:r>
      <w:r>
        <w:rPr>
          <w:b/>
          <w:sz w:val="24"/>
          <w:szCs w:val="24"/>
        </w:rPr>
        <w:t xml:space="preserve">. </w:t>
      </w:r>
      <w:r w:rsidRPr="002F467D">
        <w:rPr>
          <w:b/>
          <w:sz w:val="24"/>
          <w:szCs w:val="24"/>
        </w:rPr>
        <w:t xml:space="preserve">and </w:t>
      </w:r>
      <w:proofErr w:type="spellStart"/>
      <w:r w:rsidRPr="002F467D">
        <w:rPr>
          <w:b/>
          <w:sz w:val="24"/>
          <w:szCs w:val="24"/>
        </w:rPr>
        <w:t>Murachver</w:t>
      </w:r>
      <w:proofErr w:type="spellEnd"/>
      <w:r>
        <w:rPr>
          <w:b/>
          <w:sz w:val="24"/>
          <w:szCs w:val="24"/>
        </w:rPr>
        <w:t>, T</w:t>
      </w:r>
      <w:r w:rsidRPr="002F467D">
        <w:rPr>
          <w:b/>
          <w:sz w:val="24"/>
          <w:szCs w:val="24"/>
        </w:rPr>
        <w:t xml:space="preserve">. </w:t>
      </w:r>
      <w:r w:rsidRPr="00B60322">
        <w:rPr>
          <w:sz w:val="24"/>
          <w:szCs w:val="24"/>
        </w:rPr>
        <w:t>(2004).</w:t>
      </w:r>
      <w:r w:rsidRPr="002F467D">
        <w:rPr>
          <w:sz w:val="24"/>
          <w:szCs w:val="24"/>
        </w:rPr>
        <w:t xml:space="preserve"> The </w:t>
      </w:r>
      <w:r>
        <w:rPr>
          <w:sz w:val="24"/>
          <w:szCs w:val="24"/>
        </w:rPr>
        <w:t>R</w:t>
      </w:r>
      <w:r w:rsidRPr="002F467D">
        <w:rPr>
          <w:sz w:val="24"/>
          <w:szCs w:val="24"/>
        </w:rPr>
        <w:t xml:space="preserve">elationship between </w:t>
      </w:r>
      <w:r>
        <w:rPr>
          <w:sz w:val="24"/>
          <w:szCs w:val="24"/>
        </w:rPr>
        <w:t>G</w:t>
      </w:r>
      <w:r w:rsidRPr="002F467D">
        <w:rPr>
          <w:sz w:val="24"/>
          <w:szCs w:val="24"/>
        </w:rPr>
        <w:t xml:space="preserve">ender and </w:t>
      </w:r>
      <w:r>
        <w:rPr>
          <w:sz w:val="24"/>
          <w:szCs w:val="24"/>
        </w:rPr>
        <w:t>T</w:t>
      </w:r>
      <w:r w:rsidRPr="002F467D">
        <w:rPr>
          <w:sz w:val="24"/>
          <w:szCs w:val="24"/>
        </w:rPr>
        <w:t xml:space="preserve">opic in </w:t>
      </w:r>
      <w:r>
        <w:rPr>
          <w:sz w:val="24"/>
          <w:szCs w:val="24"/>
        </w:rPr>
        <w:t>G</w:t>
      </w:r>
      <w:r w:rsidRPr="002F467D">
        <w:rPr>
          <w:sz w:val="24"/>
          <w:szCs w:val="24"/>
        </w:rPr>
        <w:t>ender-</w:t>
      </w:r>
      <w:r>
        <w:rPr>
          <w:sz w:val="24"/>
          <w:szCs w:val="24"/>
        </w:rPr>
        <w:t>P</w:t>
      </w:r>
      <w:r w:rsidRPr="002F467D">
        <w:rPr>
          <w:sz w:val="24"/>
          <w:szCs w:val="24"/>
        </w:rPr>
        <w:t xml:space="preserve">referential </w:t>
      </w:r>
      <w:r>
        <w:rPr>
          <w:sz w:val="24"/>
          <w:szCs w:val="24"/>
        </w:rPr>
        <w:t>L</w:t>
      </w:r>
      <w:r w:rsidRPr="002F467D">
        <w:rPr>
          <w:sz w:val="24"/>
          <w:szCs w:val="24"/>
        </w:rPr>
        <w:t xml:space="preserve">anguage </w:t>
      </w:r>
      <w:r>
        <w:rPr>
          <w:sz w:val="24"/>
          <w:szCs w:val="24"/>
        </w:rPr>
        <w:t>U</w:t>
      </w:r>
      <w:r w:rsidRPr="002F467D">
        <w:rPr>
          <w:sz w:val="24"/>
          <w:szCs w:val="24"/>
        </w:rPr>
        <w:t xml:space="preserve">se. </w:t>
      </w:r>
      <w:r w:rsidRPr="002F467D">
        <w:rPr>
          <w:i/>
          <w:sz w:val="24"/>
          <w:szCs w:val="24"/>
        </w:rPr>
        <w:t>Written Communication</w:t>
      </w:r>
      <w:r>
        <w:rPr>
          <w:i/>
          <w:sz w:val="24"/>
          <w:szCs w:val="24"/>
        </w:rPr>
        <w:t>,</w:t>
      </w:r>
      <w:r w:rsidRPr="002F467D">
        <w:rPr>
          <w:sz w:val="24"/>
          <w:szCs w:val="24"/>
        </w:rPr>
        <w:t xml:space="preserve"> </w:t>
      </w:r>
      <w:r w:rsidRPr="00B60322">
        <w:rPr>
          <w:b/>
          <w:sz w:val="24"/>
          <w:szCs w:val="24"/>
        </w:rPr>
        <w:t>21</w:t>
      </w:r>
      <w:r w:rsidRPr="002F467D">
        <w:rPr>
          <w:sz w:val="24"/>
          <w:szCs w:val="24"/>
        </w:rPr>
        <w:t>: 344–67.</w:t>
      </w:r>
    </w:p>
    <w:p w:rsidR="00CA7007" w:rsidRPr="002F467D" w:rsidRDefault="00CA7007" w:rsidP="00573E89">
      <w:pPr>
        <w:spacing w:line="320" w:lineRule="atLeast"/>
        <w:rPr>
          <w:sz w:val="24"/>
          <w:szCs w:val="24"/>
        </w:rPr>
      </w:pPr>
      <w:r w:rsidRPr="002F467D">
        <w:rPr>
          <w:b/>
          <w:sz w:val="24"/>
          <w:szCs w:val="24"/>
        </w:rPr>
        <w:t>Koppel, M</w:t>
      </w:r>
      <w:r>
        <w:rPr>
          <w:b/>
          <w:sz w:val="24"/>
          <w:szCs w:val="24"/>
        </w:rPr>
        <w:t>.</w:t>
      </w:r>
      <w:r w:rsidRPr="002F467D">
        <w:rPr>
          <w:b/>
          <w:sz w:val="24"/>
          <w:szCs w:val="24"/>
        </w:rPr>
        <w:t xml:space="preserve">, </w:t>
      </w:r>
      <w:proofErr w:type="spellStart"/>
      <w:r w:rsidRPr="002F467D">
        <w:rPr>
          <w:b/>
          <w:sz w:val="24"/>
          <w:szCs w:val="24"/>
        </w:rPr>
        <w:t>Argamon</w:t>
      </w:r>
      <w:proofErr w:type="spellEnd"/>
      <w:r w:rsidRPr="002F467D">
        <w:rPr>
          <w:b/>
          <w:sz w:val="24"/>
          <w:szCs w:val="24"/>
        </w:rPr>
        <w:t xml:space="preserve">, </w:t>
      </w:r>
      <w:r>
        <w:rPr>
          <w:b/>
          <w:sz w:val="24"/>
          <w:szCs w:val="24"/>
        </w:rPr>
        <w:t xml:space="preserve">S. </w:t>
      </w:r>
      <w:r w:rsidRPr="002F467D">
        <w:rPr>
          <w:b/>
          <w:sz w:val="24"/>
          <w:szCs w:val="24"/>
        </w:rPr>
        <w:t xml:space="preserve">and </w:t>
      </w:r>
      <w:proofErr w:type="spellStart"/>
      <w:r w:rsidRPr="002F467D">
        <w:rPr>
          <w:b/>
          <w:sz w:val="24"/>
          <w:szCs w:val="24"/>
        </w:rPr>
        <w:t>Shimoni</w:t>
      </w:r>
      <w:proofErr w:type="spellEnd"/>
      <w:r>
        <w:rPr>
          <w:b/>
          <w:sz w:val="24"/>
          <w:szCs w:val="24"/>
        </w:rPr>
        <w:t>, A. R.</w:t>
      </w:r>
      <w:r w:rsidRPr="002F467D">
        <w:rPr>
          <w:b/>
          <w:sz w:val="24"/>
          <w:szCs w:val="24"/>
        </w:rPr>
        <w:t xml:space="preserve"> </w:t>
      </w:r>
      <w:r w:rsidRPr="00B60322">
        <w:rPr>
          <w:sz w:val="24"/>
          <w:szCs w:val="24"/>
        </w:rPr>
        <w:t>(2002).</w:t>
      </w:r>
      <w:r w:rsidRPr="002F467D">
        <w:rPr>
          <w:sz w:val="24"/>
          <w:szCs w:val="24"/>
        </w:rPr>
        <w:t xml:space="preserve"> Automatically </w:t>
      </w:r>
      <w:r>
        <w:rPr>
          <w:sz w:val="24"/>
          <w:szCs w:val="24"/>
        </w:rPr>
        <w:t>C</w:t>
      </w:r>
      <w:r w:rsidRPr="002F467D">
        <w:rPr>
          <w:sz w:val="24"/>
          <w:szCs w:val="24"/>
        </w:rPr>
        <w:t xml:space="preserve">ategorizing </w:t>
      </w:r>
      <w:r>
        <w:rPr>
          <w:sz w:val="24"/>
          <w:szCs w:val="24"/>
        </w:rPr>
        <w:t>W</w:t>
      </w:r>
      <w:r w:rsidRPr="002F467D">
        <w:rPr>
          <w:sz w:val="24"/>
          <w:szCs w:val="24"/>
        </w:rPr>
        <w:t xml:space="preserve">ritten </w:t>
      </w:r>
      <w:r>
        <w:rPr>
          <w:sz w:val="24"/>
          <w:szCs w:val="24"/>
        </w:rPr>
        <w:t>T</w:t>
      </w:r>
      <w:r w:rsidRPr="002F467D">
        <w:rPr>
          <w:sz w:val="24"/>
          <w:szCs w:val="24"/>
        </w:rPr>
        <w:t xml:space="preserve">exts by </w:t>
      </w:r>
      <w:r>
        <w:rPr>
          <w:sz w:val="24"/>
          <w:szCs w:val="24"/>
        </w:rPr>
        <w:t>A</w:t>
      </w:r>
      <w:r w:rsidRPr="002F467D">
        <w:rPr>
          <w:sz w:val="24"/>
          <w:szCs w:val="24"/>
        </w:rPr>
        <w:t xml:space="preserve">uthor </w:t>
      </w:r>
      <w:r>
        <w:rPr>
          <w:sz w:val="24"/>
          <w:szCs w:val="24"/>
        </w:rPr>
        <w:t>G</w:t>
      </w:r>
      <w:r w:rsidRPr="002F467D">
        <w:rPr>
          <w:sz w:val="24"/>
          <w:szCs w:val="24"/>
        </w:rPr>
        <w:t xml:space="preserve">ender. </w:t>
      </w:r>
      <w:r w:rsidRPr="002F467D">
        <w:rPr>
          <w:i/>
          <w:sz w:val="24"/>
          <w:szCs w:val="24"/>
        </w:rPr>
        <w:t>Literary and Linguistic Computing</w:t>
      </w:r>
      <w:r>
        <w:rPr>
          <w:i/>
          <w:sz w:val="24"/>
          <w:szCs w:val="24"/>
        </w:rPr>
        <w:t>,</w:t>
      </w:r>
      <w:r w:rsidRPr="002F467D">
        <w:rPr>
          <w:sz w:val="24"/>
          <w:szCs w:val="24"/>
        </w:rPr>
        <w:t xml:space="preserve"> </w:t>
      </w:r>
      <w:r w:rsidRPr="00B60322">
        <w:rPr>
          <w:b/>
          <w:sz w:val="24"/>
          <w:szCs w:val="24"/>
        </w:rPr>
        <w:t>17</w:t>
      </w:r>
      <w:r w:rsidRPr="002F467D">
        <w:rPr>
          <w:sz w:val="24"/>
          <w:szCs w:val="24"/>
        </w:rPr>
        <w:t>(4): 401–12.</w:t>
      </w:r>
    </w:p>
    <w:p w:rsidR="00CA7007" w:rsidRPr="002F467D" w:rsidRDefault="00CA7007" w:rsidP="00573E89">
      <w:pPr>
        <w:spacing w:line="320" w:lineRule="atLeast"/>
        <w:rPr>
          <w:sz w:val="24"/>
          <w:szCs w:val="24"/>
        </w:rPr>
      </w:pPr>
      <w:proofErr w:type="spellStart"/>
      <w:r w:rsidRPr="002F467D">
        <w:rPr>
          <w:b/>
          <w:sz w:val="24"/>
          <w:szCs w:val="24"/>
        </w:rPr>
        <w:t>Pennebaker</w:t>
      </w:r>
      <w:proofErr w:type="spellEnd"/>
      <w:r w:rsidRPr="002F467D">
        <w:rPr>
          <w:b/>
          <w:sz w:val="24"/>
          <w:szCs w:val="24"/>
        </w:rPr>
        <w:t>, J</w:t>
      </w:r>
      <w:r>
        <w:rPr>
          <w:b/>
          <w:sz w:val="24"/>
          <w:szCs w:val="24"/>
        </w:rPr>
        <w:t xml:space="preserve">. </w:t>
      </w:r>
      <w:r w:rsidRPr="002F467D">
        <w:rPr>
          <w:b/>
          <w:sz w:val="24"/>
          <w:szCs w:val="24"/>
        </w:rPr>
        <w:t xml:space="preserve">W. </w:t>
      </w:r>
      <w:r w:rsidRPr="00B60322">
        <w:rPr>
          <w:sz w:val="24"/>
          <w:szCs w:val="24"/>
        </w:rPr>
        <w:t>(2011).</w:t>
      </w:r>
      <w:r w:rsidRPr="002F467D">
        <w:rPr>
          <w:sz w:val="24"/>
          <w:szCs w:val="24"/>
        </w:rPr>
        <w:t xml:space="preserve"> </w:t>
      </w:r>
      <w:r w:rsidRPr="002F467D">
        <w:rPr>
          <w:i/>
          <w:sz w:val="24"/>
          <w:szCs w:val="24"/>
        </w:rPr>
        <w:t xml:space="preserve">The Secret Life of Pronouns: What Our Words Say </w:t>
      </w:r>
      <w:r>
        <w:rPr>
          <w:i/>
          <w:sz w:val="24"/>
          <w:szCs w:val="24"/>
        </w:rPr>
        <w:t>a</w:t>
      </w:r>
      <w:r w:rsidRPr="002F467D">
        <w:rPr>
          <w:i/>
          <w:sz w:val="24"/>
          <w:szCs w:val="24"/>
        </w:rPr>
        <w:t>bout Us.</w:t>
      </w:r>
      <w:r w:rsidRPr="002F467D">
        <w:rPr>
          <w:sz w:val="24"/>
          <w:szCs w:val="24"/>
        </w:rPr>
        <w:t xml:space="preserve"> Bloomsbury</w:t>
      </w:r>
      <w:r>
        <w:rPr>
          <w:sz w:val="24"/>
          <w:szCs w:val="24"/>
        </w:rPr>
        <w:t>, London.</w:t>
      </w:r>
    </w:p>
    <w:p w:rsidR="00CA7007" w:rsidRPr="002F467D" w:rsidRDefault="00CA7007" w:rsidP="00573E89">
      <w:pPr>
        <w:spacing w:line="320" w:lineRule="atLeast"/>
        <w:rPr>
          <w:sz w:val="24"/>
          <w:szCs w:val="24"/>
        </w:rPr>
      </w:pPr>
      <w:proofErr w:type="spellStart"/>
      <w:r w:rsidRPr="002F467D">
        <w:rPr>
          <w:b/>
          <w:sz w:val="24"/>
          <w:szCs w:val="24"/>
        </w:rPr>
        <w:t>Schler</w:t>
      </w:r>
      <w:proofErr w:type="spellEnd"/>
      <w:r w:rsidRPr="002F467D">
        <w:rPr>
          <w:b/>
          <w:sz w:val="24"/>
          <w:szCs w:val="24"/>
        </w:rPr>
        <w:t>, J</w:t>
      </w:r>
      <w:r>
        <w:rPr>
          <w:b/>
          <w:sz w:val="24"/>
          <w:szCs w:val="24"/>
        </w:rPr>
        <w:t>.</w:t>
      </w:r>
      <w:r w:rsidRPr="002F467D">
        <w:rPr>
          <w:b/>
          <w:sz w:val="24"/>
          <w:szCs w:val="24"/>
        </w:rPr>
        <w:t xml:space="preserve">, Koppel, </w:t>
      </w:r>
      <w:r>
        <w:rPr>
          <w:b/>
          <w:sz w:val="24"/>
          <w:szCs w:val="24"/>
        </w:rPr>
        <w:t xml:space="preserve">M., </w:t>
      </w:r>
      <w:proofErr w:type="spellStart"/>
      <w:r w:rsidRPr="002F467D">
        <w:rPr>
          <w:b/>
          <w:sz w:val="24"/>
          <w:szCs w:val="24"/>
        </w:rPr>
        <w:t>Argamon</w:t>
      </w:r>
      <w:proofErr w:type="spellEnd"/>
      <w:r w:rsidRPr="002F467D">
        <w:rPr>
          <w:b/>
          <w:sz w:val="24"/>
          <w:szCs w:val="24"/>
        </w:rPr>
        <w:t xml:space="preserve">, </w:t>
      </w:r>
      <w:r>
        <w:rPr>
          <w:b/>
          <w:sz w:val="24"/>
          <w:szCs w:val="24"/>
        </w:rPr>
        <w:t xml:space="preserve">S. </w:t>
      </w:r>
      <w:r w:rsidRPr="002F467D">
        <w:rPr>
          <w:b/>
          <w:sz w:val="24"/>
          <w:szCs w:val="24"/>
        </w:rPr>
        <w:t xml:space="preserve">and </w:t>
      </w:r>
      <w:proofErr w:type="spellStart"/>
      <w:r w:rsidRPr="002F467D">
        <w:rPr>
          <w:b/>
          <w:sz w:val="24"/>
          <w:szCs w:val="24"/>
        </w:rPr>
        <w:t>Pennebaker</w:t>
      </w:r>
      <w:proofErr w:type="spellEnd"/>
      <w:r>
        <w:rPr>
          <w:b/>
          <w:sz w:val="24"/>
          <w:szCs w:val="24"/>
        </w:rPr>
        <w:t>, J</w:t>
      </w:r>
      <w:r w:rsidRPr="002F467D">
        <w:rPr>
          <w:b/>
          <w:sz w:val="24"/>
          <w:szCs w:val="24"/>
        </w:rPr>
        <w:t xml:space="preserve">. </w:t>
      </w:r>
      <w:r w:rsidRPr="00B60322">
        <w:rPr>
          <w:sz w:val="24"/>
          <w:szCs w:val="24"/>
        </w:rPr>
        <w:t>(2005).</w:t>
      </w:r>
      <w:r w:rsidRPr="002F467D">
        <w:rPr>
          <w:sz w:val="24"/>
          <w:szCs w:val="24"/>
        </w:rPr>
        <w:t xml:space="preserve"> Effects of Age and Gender in Blogging. Symposium </w:t>
      </w:r>
      <w:r>
        <w:rPr>
          <w:sz w:val="24"/>
          <w:szCs w:val="24"/>
        </w:rPr>
        <w:t>p</w:t>
      </w:r>
      <w:r w:rsidRPr="002F467D">
        <w:rPr>
          <w:sz w:val="24"/>
          <w:szCs w:val="24"/>
        </w:rPr>
        <w:t>aper</w:t>
      </w:r>
      <w:r>
        <w:rPr>
          <w:sz w:val="24"/>
          <w:szCs w:val="24"/>
        </w:rPr>
        <w:t xml:space="preserve"> for </w:t>
      </w:r>
      <w:r w:rsidRPr="002F467D">
        <w:rPr>
          <w:i/>
          <w:sz w:val="24"/>
          <w:szCs w:val="24"/>
        </w:rPr>
        <w:t>American Association for Artificial Intelligence</w:t>
      </w:r>
      <w:r w:rsidRPr="002F467D">
        <w:rPr>
          <w:sz w:val="24"/>
          <w:szCs w:val="24"/>
        </w:rPr>
        <w:t>.</w:t>
      </w:r>
    </w:p>
    <w:p w:rsidR="00CA7007" w:rsidRPr="002F467D" w:rsidRDefault="00092D11" w:rsidP="00573E89">
      <w:pPr>
        <w:spacing w:line="320" w:lineRule="atLeast"/>
        <w:rPr>
          <w:sz w:val="24"/>
          <w:szCs w:val="24"/>
        </w:rPr>
      </w:pPr>
      <w:r>
        <w:rPr>
          <w:sz w:val="24"/>
          <w:szCs w:val="24"/>
        </w:rPr>
        <w:t xml:space="preserve"> </w:t>
      </w:r>
    </w:p>
    <w:sectPr w:rsidR="00CA7007" w:rsidRPr="002F467D" w:rsidSect="00C376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A93"/>
    <w:rsid w:val="00092D11"/>
    <w:rsid w:val="0010472B"/>
    <w:rsid w:val="00165F17"/>
    <w:rsid w:val="002173F6"/>
    <w:rsid w:val="002F467D"/>
    <w:rsid w:val="004753E3"/>
    <w:rsid w:val="005257BB"/>
    <w:rsid w:val="00561020"/>
    <w:rsid w:val="00573E89"/>
    <w:rsid w:val="006063D2"/>
    <w:rsid w:val="00647E49"/>
    <w:rsid w:val="00683E84"/>
    <w:rsid w:val="008C1975"/>
    <w:rsid w:val="008E3983"/>
    <w:rsid w:val="00905EE7"/>
    <w:rsid w:val="009E70B4"/>
    <w:rsid w:val="00A752F6"/>
    <w:rsid w:val="00B60322"/>
    <w:rsid w:val="00B62D94"/>
    <w:rsid w:val="00BC47EE"/>
    <w:rsid w:val="00C37634"/>
    <w:rsid w:val="00C87462"/>
    <w:rsid w:val="00CA7007"/>
    <w:rsid w:val="00CF5A93"/>
    <w:rsid w:val="00D42858"/>
    <w:rsid w:val="00DD63C5"/>
    <w:rsid w:val="00E65474"/>
    <w:rsid w:val="00EE4F7E"/>
    <w:rsid w:val="00F77E3F"/>
    <w:rsid w:val="00FF1BD7"/>
    <w:rsid w:val="00FF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46F9016-8259-4AEC-A5E3-E7BC7420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0" w:line="240" w:lineRule="auto"/>
    </w:pPr>
    <w:rPr>
      <w:color w:val="000000"/>
      <w:szCs w:val="20"/>
    </w:rPr>
  </w:style>
  <w:style w:type="paragraph" w:styleId="Heading1">
    <w:name w:val="heading 1"/>
    <w:basedOn w:val="Normal"/>
    <w:next w:val="Normal"/>
    <w:link w:val="Heading1Char"/>
    <w:uiPriority w:val="99"/>
    <w:qFormat/>
    <w:pPr>
      <w:keepNext/>
      <w:keepLines/>
      <w:outlineLvl w:val="0"/>
    </w:pPr>
    <w:rPr>
      <w:b/>
      <w:sz w:val="26"/>
    </w:rPr>
  </w:style>
  <w:style w:type="paragraph" w:styleId="Heading2">
    <w:name w:val="heading 2"/>
    <w:basedOn w:val="Normal"/>
    <w:next w:val="Normal"/>
    <w:link w:val="Heading2Char"/>
    <w:uiPriority w:val="99"/>
    <w:qFormat/>
    <w:pPr>
      <w:keepNext/>
      <w:keepLines/>
      <w:outlineLvl w:val="1"/>
    </w:pPr>
    <w:rPr>
      <w:b/>
      <w:sz w:val="26"/>
    </w:rPr>
  </w:style>
  <w:style w:type="paragraph" w:styleId="Heading3">
    <w:name w:val="heading 3"/>
    <w:basedOn w:val="Normal"/>
    <w:next w:val="Normal"/>
    <w:link w:val="Heading3Char"/>
    <w:uiPriority w:val="99"/>
    <w:qFormat/>
    <w:pPr>
      <w:keepNext/>
      <w:keepLines/>
      <w:spacing w:before="160"/>
      <w:outlineLvl w:val="2"/>
    </w:pPr>
    <w:rPr>
      <w:rFonts w:ascii="Trebuchet MS" w:hAnsi="Trebuchet MS" w:cs="Trebuchet MS"/>
      <w:b/>
      <w:color w:val="666666"/>
      <w:sz w:val="24"/>
    </w:rPr>
  </w:style>
  <w:style w:type="paragraph" w:styleId="Heading4">
    <w:name w:val="heading 4"/>
    <w:basedOn w:val="Normal"/>
    <w:next w:val="Normal"/>
    <w:link w:val="Heading4Char"/>
    <w:uiPriority w:val="99"/>
    <w:qFormat/>
    <w:pPr>
      <w:keepNext/>
      <w:keepLines/>
      <w:spacing w:before="40"/>
      <w:outlineLvl w:val="3"/>
    </w:pPr>
    <w:rPr>
      <w:rFonts w:ascii="Calibri" w:hAnsi="Calibri" w:cs="Calibri"/>
      <w:i/>
      <w:color w:val="4474A0"/>
    </w:rPr>
  </w:style>
  <w:style w:type="paragraph" w:styleId="Heading5">
    <w:name w:val="heading 5"/>
    <w:basedOn w:val="Normal"/>
    <w:next w:val="Normal"/>
    <w:link w:val="Heading5Char"/>
    <w:uiPriority w:val="99"/>
    <w:qFormat/>
    <w:pPr>
      <w:keepNext/>
      <w:keepLines/>
      <w:spacing w:before="40"/>
      <w:outlineLvl w:val="4"/>
    </w:pPr>
    <w:rPr>
      <w:rFonts w:ascii="Calibri" w:hAnsi="Calibri" w:cs="Calibri"/>
      <w:color w:val="4474A0"/>
    </w:rPr>
  </w:style>
  <w:style w:type="paragraph" w:styleId="Heading6">
    <w:name w:val="heading 6"/>
    <w:basedOn w:val="Normal"/>
    <w:next w:val="Normal"/>
    <w:link w:val="Heading6Char"/>
    <w:uiPriority w:val="99"/>
    <w:qFormat/>
    <w:pPr>
      <w:keepNext/>
      <w:keepLines/>
      <w:spacing w:before="40"/>
      <w:outlineLvl w:val="5"/>
    </w:pPr>
    <w:rPr>
      <w:rFonts w:ascii="Calibri" w:hAnsi="Calibri" w:cs="Calibri"/>
      <w:color w:val="2D4D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847"/>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555847"/>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555847"/>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555847"/>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555847"/>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555847"/>
    <w:rPr>
      <w:rFonts w:asciiTheme="minorHAnsi" w:eastAsiaTheme="minorEastAsia" w:hAnsiTheme="minorHAnsi" w:cstheme="minorBidi"/>
      <w:b/>
      <w:bCs/>
      <w:color w:val="000000"/>
    </w:rPr>
  </w:style>
  <w:style w:type="paragraph" w:styleId="BalloonText">
    <w:name w:val="Balloon Text"/>
    <w:basedOn w:val="Normal"/>
    <w:link w:val="BalloonTextChar"/>
    <w:uiPriority w:val="99"/>
    <w:semiHidden/>
    <w:rsid w:val="00F77E3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77E3F"/>
    <w:rPr>
      <w:rFonts w:ascii="Tahoma" w:hAnsi="Tahoma"/>
      <w:sz w:val="16"/>
    </w:rPr>
  </w:style>
  <w:style w:type="paragraph" w:styleId="Title">
    <w:name w:val="Title"/>
    <w:basedOn w:val="Normal"/>
    <w:next w:val="Normal"/>
    <w:link w:val="TitleChar"/>
    <w:uiPriority w:val="99"/>
    <w:qFormat/>
    <w:pPr>
      <w:keepNext/>
      <w:keepLines/>
    </w:pPr>
    <w:rPr>
      <w:rFonts w:ascii="Trebuchet MS" w:hAnsi="Trebuchet MS" w:cs="Trebuchet MS"/>
      <w:sz w:val="42"/>
    </w:rPr>
  </w:style>
  <w:style w:type="character" w:customStyle="1" w:styleId="TitleChar">
    <w:name w:val="Title Char"/>
    <w:basedOn w:val="DefaultParagraphFont"/>
    <w:link w:val="Title"/>
    <w:uiPriority w:val="10"/>
    <w:rsid w:val="00555847"/>
    <w:rPr>
      <w:rFonts w:asciiTheme="majorHAnsi" w:eastAsiaTheme="majorEastAsia" w:hAnsiTheme="majorHAnsi" w:cstheme="majorBidi"/>
      <w:b/>
      <w:bCs/>
      <w:color w:val="000000"/>
      <w:kern w:val="28"/>
      <w:sz w:val="32"/>
      <w:szCs w:val="32"/>
    </w:rPr>
  </w:style>
  <w:style w:type="paragraph" w:styleId="Subtitle">
    <w:name w:val="Subtitle"/>
    <w:basedOn w:val="Normal"/>
    <w:next w:val="Normal"/>
    <w:link w:val="SubtitleChar"/>
    <w:uiPriority w:val="99"/>
    <w:qFormat/>
    <w:pPr>
      <w:keepNext/>
      <w:keepLines/>
      <w:spacing w:after="200"/>
    </w:pPr>
    <w:rPr>
      <w:rFonts w:ascii="Trebuchet MS" w:hAnsi="Trebuchet MS" w:cs="Trebuchet MS"/>
      <w:i/>
      <w:color w:val="666666"/>
      <w:sz w:val="26"/>
    </w:rPr>
  </w:style>
  <w:style w:type="character" w:customStyle="1" w:styleId="SubtitleChar">
    <w:name w:val="Subtitle Char"/>
    <w:basedOn w:val="DefaultParagraphFont"/>
    <w:link w:val="Subtitle"/>
    <w:uiPriority w:val="11"/>
    <w:rsid w:val="00555847"/>
    <w:rPr>
      <w:rFonts w:asciiTheme="majorHAnsi" w:eastAsiaTheme="majorEastAsia" w:hAnsiTheme="majorHAnsi" w:cstheme="majorBidi"/>
      <w:color w:val="000000"/>
      <w:sz w:val="24"/>
      <w:szCs w:val="24"/>
    </w:rPr>
  </w:style>
  <w:style w:type="table" w:customStyle="1" w:styleId="Style">
    <w:name w:val="Style"/>
    <w:uiPriority w:val="99"/>
    <w:pPr>
      <w:spacing w:after="0" w:line="240" w:lineRule="auto"/>
      <w:contextualSpacing/>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
    <w:name w:val="Style1"/>
    <w:uiPriority w:val="99"/>
    <w:pPr>
      <w:spacing w:after="0" w:line="240" w:lineRule="auto"/>
      <w:contextualSpacing/>
    </w:pPr>
    <w:rPr>
      <w:sz w:val="20"/>
      <w:szCs w:val="20"/>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santhology.commons.mla.org/textual-analysis/"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1774</Words>
  <Characters>10114</Characters>
  <Application>Microsoft Office Word</Application>
  <DocSecurity>0</DocSecurity>
  <Lines>84</Lines>
  <Paragraphs>23</Paragraphs>
  <ScaleCrop>false</ScaleCrop>
  <Company/>
  <LinksUpToDate>false</LinksUpToDate>
  <CharactersWithSpaces>11865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2015-04-15T23:52:00Z</cp:lastPrinted>
  <dcterms:created xsi:type="dcterms:W3CDTF">2015-04-20T03:24:00Z</dcterms:created>
  <dcterms:modified xsi:type="dcterms:W3CDTF">2015-05-03T19:26:00Z</dcterms:modified>
</cp:coreProperties>
</file>