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888" w:rsidRPr="00F72F14" w:rsidRDefault="004C6888" w:rsidP="00CE32D9">
      <w:pPr>
        <w:pStyle w:val="Title"/>
        <w:widowControl w:val="0"/>
        <w:pBdr>
          <w:top w:val="none" w:sz="0" w:space="0" w:color="auto"/>
          <w:left w:val="none" w:sz="0" w:space="0" w:color="auto"/>
          <w:bottom w:val="none" w:sz="0" w:space="0" w:color="auto"/>
          <w:right w:val="none" w:sz="0" w:space="0" w:color="auto"/>
          <w:bar w:val="none" w:sz="0" w:color="auto"/>
        </w:pBdr>
        <w:spacing w:after="0" w:line="320" w:lineRule="exact"/>
        <w:rPr>
          <w:spacing w:val="0"/>
          <w:sz w:val="28"/>
          <w:szCs w:val="28"/>
        </w:rPr>
      </w:pPr>
      <w:r w:rsidRPr="00F72F14">
        <w:rPr>
          <w:rFonts w:ascii="Times New Roman" w:hAnsi="Times New Roman"/>
          <w:i w:val="0"/>
          <w:spacing w:val="0"/>
          <w:sz w:val="28"/>
          <w:szCs w:val="28"/>
        </w:rPr>
        <w:t xml:space="preserve">WEVERS </w:t>
      </w:r>
      <w:r w:rsidRPr="00A6205D">
        <w:rPr>
          <w:rFonts w:ascii="Times New Roman" w:hAnsi="Times New Roman"/>
          <w:i w:val="0"/>
          <w:spacing w:val="0"/>
          <w:sz w:val="28"/>
          <w:szCs w:val="28"/>
        </w:rPr>
        <w:t>—</w:t>
      </w:r>
      <w:r w:rsidRPr="00F72F14">
        <w:rPr>
          <w:rFonts w:ascii="Times New Roman" w:hAnsi="Times New Roman"/>
          <w:i w:val="0"/>
          <w:spacing w:val="0"/>
          <w:sz w:val="28"/>
          <w:szCs w:val="28"/>
        </w:rPr>
        <w:t xml:space="preserve"> Concepts</w:t>
      </w:r>
    </w:p>
    <w:p w:rsidR="004C6888" w:rsidRDefault="004C6888" w:rsidP="00CE32D9">
      <w:pPr>
        <w:pStyle w:val="Title"/>
        <w:widowControl w:val="0"/>
        <w:pBdr>
          <w:top w:val="none" w:sz="0" w:space="0" w:color="auto"/>
          <w:left w:val="none" w:sz="0" w:space="0" w:color="auto"/>
          <w:bottom w:val="none" w:sz="0" w:space="0" w:color="auto"/>
          <w:right w:val="none" w:sz="0" w:space="0" w:color="auto"/>
          <w:bar w:val="none" w:sz="0" w:color="auto"/>
        </w:pBdr>
        <w:spacing w:after="0" w:line="320" w:lineRule="exact"/>
        <w:rPr>
          <w:rFonts w:ascii="Times New Roman" w:hAnsi="Times New Roman"/>
          <w:b w:val="0"/>
          <w:i w:val="0"/>
          <w:spacing w:val="0"/>
          <w:sz w:val="24"/>
          <w:szCs w:val="24"/>
        </w:rPr>
      </w:pPr>
      <w:r>
        <w:rPr>
          <w:rFonts w:ascii="Times New Roman" w:hAnsi="Times New Roman"/>
          <w:b w:val="0"/>
          <w:i w:val="0"/>
          <w:spacing w:val="0"/>
          <w:sz w:val="24"/>
          <w:szCs w:val="24"/>
        </w:rPr>
        <w:t>&lt;0 figures&gt;</w:t>
      </w:r>
    </w:p>
    <w:p w:rsidR="004C6888" w:rsidRDefault="004C6888" w:rsidP="00CE32D9">
      <w:pPr>
        <w:pStyle w:val="Title"/>
        <w:widowControl w:val="0"/>
        <w:pBdr>
          <w:top w:val="none" w:sz="0" w:space="0" w:color="auto"/>
          <w:left w:val="none" w:sz="0" w:space="0" w:color="auto"/>
          <w:bottom w:val="none" w:sz="0" w:space="0" w:color="auto"/>
          <w:right w:val="none" w:sz="0" w:space="0" w:color="auto"/>
          <w:bar w:val="none" w:sz="0" w:color="auto"/>
        </w:pBdr>
        <w:spacing w:after="0" w:line="320" w:lineRule="exact"/>
        <w:rPr>
          <w:rFonts w:ascii="Times New Roman" w:hAnsi="Times New Roman"/>
          <w:i w:val="0"/>
          <w:spacing w:val="0"/>
          <w:sz w:val="24"/>
          <w:szCs w:val="24"/>
        </w:rPr>
      </w:pPr>
    </w:p>
    <w:p w:rsidR="004C6888" w:rsidRPr="00A6205D" w:rsidRDefault="004C6888" w:rsidP="00CE32D9">
      <w:pPr>
        <w:pStyle w:val="Title"/>
        <w:widowControl w:val="0"/>
        <w:pBdr>
          <w:top w:val="none" w:sz="0" w:space="0" w:color="auto"/>
          <w:left w:val="none" w:sz="0" w:space="0" w:color="auto"/>
          <w:bottom w:val="none" w:sz="0" w:space="0" w:color="auto"/>
          <w:right w:val="none" w:sz="0" w:space="0" w:color="auto"/>
          <w:bar w:val="none" w:sz="0" w:color="auto"/>
        </w:pBdr>
        <w:spacing w:after="0" w:line="320" w:lineRule="exact"/>
        <w:rPr>
          <w:rFonts w:ascii="Times New Roman" w:hAnsi="Times New Roman"/>
          <w:i w:val="0"/>
          <w:spacing w:val="0"/>
          <w:sz w:val="24"/>
          <w:szCs w:val="24"/>
        </w:rPr>
      </w:pPr>
      <w:r w:rsidRPr="00A6205D">
        <w:rPr>
          <w:rFonts w:ascii="Times New Roman" w:hAnsi="Times New Roman"/>
          <w:i w:val="0"/>
          <w:spacing w:val="0"/>
          <w:sz w:val="24"/>
          <w:szCs w:val="24"/>
        </w:rPr>
        <w:t xml:space="preserve">Concepts </w:t>
      </w:r>
      <w:r w:rsidR="002B3F95">
        <w:rPr>
          <w:rFonts w:ascii="Times New Roman" w:hAnsi="Times New Roman"/>
          <w:i w:val="0"/>
          <w:spacing w:val="0"/>
          <w:sz w:val="24"/>
          <w:szCs w:val="24"/>
        </w:rPr>
        <w:t>T</w:t>
      </w:r>
      <w:r w:rsidRPr="00A6205D">
        <w:rPr>
          <w:rFonts w:ascii="Times New Roman" w:hAnsi="Times New Roman"/>
          <w:i w:val="0"/>
          <w:spacing w:val="0"/>
          <w:sz w:val="24"/>
          <w:szCs w:val="24"/>
        </w:rPr>
        <w:t>hrough Time: Tracing Concepts in Dutch Newspaper Discourse (1890</w:t>
      </w:r>
      <w:r>
        <w:rPr>
          <w:rFonts w:ascii="Times New Roman" w:hAnsi="Times New Roman"/>
          <w:i w:val="0"/>
          <w:spacing w:val="0"/>
          <w:sz w:val="24"/>
          <w:szCs w:val="24"/>
        </w:rPr>
        <w:t>–</w:t>
      </w:r>
      <w:r w:rsidRPr="00A6205D">
        <w:rPr>
          <w:rFonts w:ascii="Times New Roman" w:hAnsi="Times New Roman"/>
          <w:i w:val="0"/>
          <w:spacing w:val="0"/>
          <w:sz w:val="24"/>
          <w:szCs w:val="24"/>
        </w:rPr>
        <w:t xml:space="preserve">1990) </w:t>
      </w:r>
      <w:r>
        <w:rPr>
          <w:rFonts w:ascii="Times New Roman" w:hAnsi="Times New Roman"/>
          <w:i w:val="0"/>
          <w:spacing w:val="0"/>
          <w:sz w:val="24"/>
          <w:szCs w:val="24"/>
        </w:rPr>
        <w:t>U</w:t>
      </w:r>
      <w:r w:rsidRPr="00A6205D">
        <w:rPr>
          <w:rFonts w:ascii="Times New Roman" w:hAnsi="Times New Roman"/>
          <w:i w:val="0"/>
          <w:spacing w:val="0"/>
          <w:sz w:val="24"/>
          <w:szCs w:val="24"/>
        </w:rPr>
        <w:t>sing Word Embeddings</w:t>
      </w:r>
    </w:p>
    <w:p w:rsidR="004C6888" w:rsidRPr="00A6205D" w:rsidRDefault="004C6888" w:rsidP="00F72F14">
      <w:pPr>
        <w:pStyle w:val="Normal1"/>
        <w:widowControl w:val="0"/>
        <w:pBdr>
          <w:top w:val="none" w:sz="0" w:space="0" w:color="auto"/>
          <w:left w:val="none" w:sz="0" w:space="0" w:color="auto"/>
          <w:bottom w:val="none" w:sz="0" w:space="0" w:color="auto"/>
          <w:right w:val="none" w:sz="0" w:space="0" w:color="auto"/>
          <w:bar w:val="none" w:sz="0" w:color="auto"/>
        </w:pBdr>
        <w:spacing w:after="0" w:line="320" w:lineRule="exact"/>
        <w:ind w:firstLine="0"/>
        <w:rPr>
          <w:rFonts w:ascii="Times New Roman" w:hAnsi="Times New Roman"/>
        </w:rPr>
      </w:pPr>
      <w:r>
        <w:rPr>
          <w:rFonts w:ascii="Times New Roman" w:hAnsi="Times New Roman"/>
        </w:rPr>
        <w:t xml:space="preserve">Wevers, M., Kenter, T. and </w:t>
      </w:r>
      <w:r w:rsidRPr="00A6205D">
        <w:rPr>
          <w:rFonts w:ascii="Times New Roman" w:hAnsi="Times New Roman"/>
        </w:rPr>
        <w:t>Huijnen</w:t>
      </w:r>
      <w:r>
        <w:rPr>
          <w:rFonts w:ascii="Times New Roman" w:hAnsi="Times New Roman"/>
        </w:rPr>
        <w:t>, P.</w:t>
      </w:r>
    </w:p>
    <w:p w:rsidR="004C6888" w:rsidRDefault="004C6888" w:rsidP="00F72F14">
      <w:pPr>
        <w:pStyle w:val="Normal1"/>
        <w:widowControl w:val="0"/>
        <w:pBdr>
          <w:top w:val="none" w:sz="0" w:space="0" w:color="auto"/>
          <w:left w:val="none" w:sz="0" w:space="0" w:color="auto"/>
          <w:bottom w:val="none" w:sz="0" w:space="0" w:color="auto"/>
          <w:right w:val="none" w:sz="0" w:space="0" w:color="auto"/>
          <w:bar w:val="none" w:sz="0" w:color="auto"/>
        </w:pBdr>
        <w:spacing w:after="0" w:line="320" w:lineRule="exact"/>
        <w:ind w:firstLine="0"/>
        <w:rPr>
          <w:rFonts w:ascii="Times New Roman" w:hAnsi="Times New Roman"/>
          <w:iCs/>
        </w:rPr>
      </w:pPr>
      <w:r w:rsidRPr="00A6205D">
        <w:rPr>
          <w:rFonts w:ascii="Times New Roman" w:hAnsi="Times New Roman"/>
          <w:iCs/>
        </w:rPr>
        <w:br/>
        <w:t>In this paper, we use a new technique, called Concepts Through Time (CTT), to trace concepts in newspaper discourse. CTT makes use of sequential semantic spaces to follow semantic shifts of concepts diachronically. The semantic spaces are based on the extensive digitized newspaper corpus of the Dutch National Library.</w:t>
      </w:r>
      <w:r w:rsidR="008466B0">
        <w:rPr>
          <w:rFonts w:ascii="Times New Roman" w:hAnsi="Times New Roman"/>
          <w:iCs/>
          <w:vertAlign w:val="superscript"/>
        </w:rPr>
        <w:t>1</w:t>
      </w:r>
      <w:r w:rsidRPr="00A6205D">
        <w:rPr>
          <w:rFonts w:ascii="Times New Roman" w:hAnsi="Times New Roman"/>
          <w:iCs/>
        </w:rPr>
        <w:t xml:space="preserve"> As part of our approach, concepts are modeled as words related to each other in a semantic space. A key aspect of CTT is that the vocabulary used in the debate on a concept may change over time. In fact, the set of words used to discuss a particular concept might not show any overlap at all between different periods of time. As such, our method bears a resemblance to the rhizomatic structure as described by philosopher Gilles Deleuze. The conceptual implication of this method approximates the traditional scholarly methods of conceptual history. We test our method through three case studies: consumerism, globalization, and economic models. These domains are inextricably linked to the manifestation of modernization and Americanization within Dutch public discourse throughout the </w:t>
      </w:r>
      <w:r>
        <w:rPr>
          <w:rFonts w:ascii="Times New Roman" w:hAnsi="Times New Roman"/>
          <w:iCs/>
        </w:rPr>
        <w:t>20th</w:t>
      </w:r>
      <w:r w:rsidRPr="00A6205D">
        <w:rPr>
          <w:rFonts w:ascii="Times New Roman" w:hAnsi="Times New Roman"/>
          <w:iCs/>
        </w:rPr>
        <w:t xml:space="preserve"> century.</w:t>
      </w:r>
      <w:r w:rsidR="008466B0">
        <w:rPr>
          <w:rFonts w:ascii="Times New Roman" w:hAnsi="Times New Roman"/>
          <w:iCs/>
          <w:vertAlign w:val="superscript"/>
        </w:rPr>
        <w:t>2</w:t>
      </w:r>
      <w:r w:rsidRPr="00A6205D">
        <w:rPr>
          <w:rFonts w:ascii="Times New Roman" w:hAnsi="Times New Roman"/>
          <w:iCs/>
        </w:rPr>
        <w:t xml:space="preserve"> Tracing the genealogy of these manifestations helps us rethink the variety of meanings of modernization and Americanization in the Netherlands during this period.</w:t>
      </w:r>
      <w:r w:rsidRPr="00A6205D">
        <w:rPr>
          <w:rFonts w:ascii="Times New Roman" w:hAnsi="Times New Roman"/>
        </w:rPr>
        <w:t xml:space="preserve"> </w:t>
      </w:r>
      <w:r w:rsidRPr="00A6205D">
        <w:rPr>
          <w:rFonts w:ascii="Times New Roman" w:hAnsi="Times New Roman"/>
          <w:iCs/>
        </w:rPr>
        <w:t xml:space="preserve">Essential to the development and success of this method is that, for every step of the process, decisions have been motivated from both the perspective of computational linguistics and cultural history. This </w:t>
      </w:r>
      <w:r>
        <w:rPr>
          <w:rFonts w:ascii="Times New Roman" w:hAnsi="Times New Roman"/>
          <w:iCs/>
        </w:rPr>
        <w:t xml:space="preserve">approach </w:t>
      </w:r>
      <w:r w:rsidRPr="00A6205D">
        <w:rPr>
          <w:rFonts w:ascii="Times New Roman" w:hAnsi="Times New Roman"/>
          <w:iCs/>
        </w:rPr>
        <w:t>makes this research project a genuine collaborative digital humanities effort.</w:t>
      </w:r>
      <w:r w:rsidR="008466B0">
        <w:rPr>
          <w:rFonts w:ascii="Times New Roman" w:hAnsi="Times New Roman"/>
          <w:iCs/>
          <w:vertAlign w:val="superscript"/>
        </w:rPr>
        <w:t>3</w:t>
      </w:r>
    </w:p>
    <w:p w:rsidR="004C6888" w:rsidRDefault="004C6888" w:rsidP="00A6205D">
      <w:pPr>
        <w:pStyle w:val="Normal1"/>
        <w:widowControl w:val="0"/>
        <w:pBdr>
          <w:top w:val="none" w:sz="0" w:space="0" w:color="auto"/>
          <w:left w:val="none" w:sz="0" w:space="0" w:color="auto"/>
          <w:bottom w:val="none" w:sz="0" w:space="0" w:color="auto"/>
          <w:right w:val="none" w:sz="0" w:space="0" w:color="auto"/>
          <w:bar w:val="none" w:sz="0" w:color="auto"/>
        </w:pBdr>
        <w:spacing w:after="0" w:line="320" w:lineRule="exact"/>
        <w:ind w:firstLine="720"/>
        <w:rPr>
          <w:rFonts w:ascii="Times New Roman" w:hAnsi="Times New Roman"/>
          <w:i/>
          <w:iCs/>
        </w:rPr>
      </w:pPr>
      <w:r w:rsidRPr="00A6205D">
        <w:rPr>
          <w:rFonts w:ascii="Times New Roman" w:hAnsi="Times New Roman"/>
        </w:rPr>
        <w:t>Traditionally, the field of conceptual history has tried to combine micro and macro perspectives by studying the emergence and transformation of concepts, ideas, and thoughts over larger periods of time. Historians have increasingly used digital tools for the purposes of conceptual history. However, researchers in these studies regularly employed pre-defined and ahistorical definitions of concepts. Full-text search and n-gram viewers, for example, require a workable definition of a concept or a range of words that cover the subject in order to, subsequently, analyze them within certain contexts and periods.</w:t>
      </w:r>
      <w:r w:rsidR="008466B0">
        <w:rPr>
          <w:rFonts w:ascii="Times New Roman" w:hAnsi="Times New Roman"/>
          <w:vertAlign w:val="superscript"/>
        </w:rPr>
        <w:t>4</w:t>
      </w:r>
      <w:r w:rsidRPr="00A6205D">
        <w:rPr>
          <w:rFonts w:ascii="Times New Roman" w:hAnsi="Times New Roman"/>
        </w:rPr>
        <w:t xml:space="preserve"> The necessity of pre-defining terms is a serious drawback of working with these tracking tools. The research done in this way runs the risk of ahistoricity. The same goes for top-down approaches, in which a specific language model allows for the recognition of specific semantic information, such as entities via Named Entity Recognition</w:t>
      </w:r>
      <w:r>
        <w:rPr>
          <w:rFonts w:ascii="Times New Roman" w:hAnsi="Times New Roman"/>
        </w:rPr>
        <w:t xml:space="preserve"> (Grover et al., 2008; van Hooland et al., 2013)</w:t>
      </w:r>
      <w:r w:rsidRPr="00A6205D">
        <w:rPr>
          <w:rFonts w:ascii="Times New Roman" w:hAnsi="Times New Roman"/>
        </w:rPr>
        <w:t xml:space="preserve"> or via word classification lists</w:t>
      </w:r>
      <w:r>
        <w:rPr>
          <w:rFonts w:ascii="Times New Roman" w:hAnsi="Times New Roman"/>
        </w:rPr>
        <w:t xml:space="preserve"> (Klingenstein et al., 2014)</w:t>
      </w:r>
      <w:r w:rsidRPr="00A6205D">
        <w:rPr>
          <w:rFonts w:ascii="Times New Roman" w:hAnsi="Times New Roman"/>
        </w:rPr>
        <w:t xml:space="preserve">. Topic modeling approaches partly circumvent this limitation by modeling groups of words rather than single words. Topic modeling tools such as Mallet and TMT allow </w:t>
      </w:r>
      <w:r w:rsidRPr="00A6205D">
        <w:rPr>
          <w:rFonts w:ascii="Times New Roman" w:hAnsi="Times New Roman"/>
        </w:rPr>
        <w:lastRenderedPageBreak/>
        <w:t>users to find topics in a corpus of texts without having to provide the algorithm with any prior information.</w:t>
      </w:r>
      <w:r w:rsidR="008466B0">
        <w:rPr>
          <w:rFonts w:ascii="Times New Roman" w:hAnsi="Times New Roman"/>
          <w:vertAlign w:val="superscript"/>
        </w:rPr>
        <w:t>5</w:t>
      </w:r>
      <w:r w:rsidRPr="00A6205D">
        <w:rPr>
          <w:rFonts w:ascii="Times New Roman" w:hAnsi="Times New Roman"/>
        </w:rPr>
        <w:t xml:space="preserve"> With approaches such as </w:t>
      </w:r>
      <w:r>
        <w:rPr>
          <w:rFonts w:ascii="Times New Roman" w:hAnsi="Times New Roman"/>
        </w:rPr>
        <w:t>‘</w:t>
      </w:r>
      <w:r w:rsidRPr="00A6205D">
        <w:rPr>
          <w:rFonts w:ascii="Times New Roman" w:hAnsi="Times New Roman"/>
        </w:rPr>
        <w:t>Topics over Time</w:t>
      </w:r>
      <w:r>
        <w:rPr>
          <w:rFonts w:ascii="Times New Roman" w:hAnsi="Times New Roman"/>
        </w:rPr>
        <w:t>’,</w:t>
      </w:r>
      <w:r w:rsidRPr="00A6205D">
        <w:rPr>
          <w:rFonts w:ascii="Times New Roman" w:hAnsi="Times New Roman"/>
        </w:rPr>
        <w:t xml:space="preserve"> researchers could also track topics diachronically</w:t>
      </w:r>
      <w:r>
        <w:rPr>
          <w:rFonts w:ascii="Times New Roman" w:hAnsi="Times New Roman"/>
        </w:rPr>
        <w:t xml:space="preserve"> (Wang and McCallum, 2006)</w:t>
      </w:r>
      <w:r w:rsidRPr="00A6205D">
        <w:rPr>
          <w:rFonts w:ascii="Times New Roman" w:hAnsi="Times New Roman"/>
        </w:rPr>
        <w:t xml:space="preserve">. Other research projects have used topic models to develop contextualized dictionaries that helped, e.g., to define the concept of ‘strikes’ in </w:t>
      </w:r>
      <w:r>
        <w:rPr>
          <w:rFonts w:ascii="Times New Roman" w:hAnsi="Times New Roman"/>
        </w:rPr>
        <w:t>20th-</w:t>
      </w:r>
      <w:r w:rsidRPr="00A6205D">
        <w:rPr>
          <w:rFonts w:ascii="Times New Roman" w:hAnsi="Times New Roman"/>
        </w:rPr>
        <w:t>century Netherlands</w:t>
      </w:r>
      <w:r>
        <w:rPr>
          <w:rFonts w:ascii="Times New Roman" w:hAnsi="Times New Roman"/>
        </w:rPr>
        <w:t xml:space="preserve"> (Bogers and Van den Bosch, 2008)</w:t>
      </w:r>
      <w:r w:rsidRPr="00A6205D">
        <w:rPr>
          <w:rFonts w:ascii="Times New Roman" w:hAnsi="Times New Roman"/>
        </w:rPr>
        <w:t xml:space="preserve"> or the Chicago School of ‘neoliberalism’ in postwar Germany</w:t>
      </w:r>
      <w:r>
        <w:rPr>
          <w:rFonts w:ascii="Times New Roman" w:hAnsi="Times New Roman"/>
        </w:rPr>
        <w:t xml:space="preserve"> (Wiedemann et al., 2014)</w:t>
      </w:r>
      <w:r w:rsidRPr="00A6205D">
        <w:rPr>
          <w:rFonts w:ascii="Times New Roman" w:hAnsi="Times New Roman"/>
        </w:rPr>
        <w:t xml:space="preserve">. </w:t>
      </w:r>
    </w:p>
    <w:p w:rsidR="004C6888" w:rsidRDefault="004C6888" w:rsidP="00A6205D">
      <w:pPr>
        <w:pStyle w:val="Normal1"/>
        <w:widowControl w:val="0"/>
        <w:pBdr>
          <w:top w:val="none" w:sz="0" w:space="0" w:color="auto"/>
          <w:left w:val="none" w:sz="0" w:space="0" w:color="auto"/>
          <w:bottom w:val="none" w:sz="0" w:space="0" w:color="auto"/>
          <w:right w:val="none" w:sz="0" w:space="0" w:color="auto"/>
          <w:bar w:val="none" w:sz="0" w:color="auto"/>
        </w:pBdr>
        <w:spacing w:after="0" w:line="320" w:lineRule="exact"/>
        <w:ind w:firstLine="720"/>
        <w:rPr>
          <w:rFonts w:ascii="Times New Roman" w:hAnsi="Times New Roman"/>
        </w:rPr>
      </w:pPr>
      <w:r w:rsidRPr="00A6205D">
        <w:rPr>
          <w:rFonts w:ascii="Times New Roman" w:hAnsi="Times New Roman"/>
        </w:rPr>
        <w:t>The methods described above all share the limitation that concepts</w:t>
      </w:r>
      <w:r>
        <w:rPr>
          <w:rFonts w:ascii="Times New Roman" w:hAnsi="Times New Roman"/>
        </w:rPr>
        <w:t>—</w:t>
      </w:r>
      <w:r w:rsidRPr="00A6205D">
        <w:rPr>
          <w:rFonts w:ascii="Times New Roman" w:hAnsi="Times New Roman"/>
        </w:rPr>
        <w:t>whether defined by hand or automatically</w:t>
      </w:r>
      <w:r>
        <w:rPr>
          <w:rFonts w:ascii="Times New Roman" w:hAnsi="Times New Roman"/>
        </w:rPr>
        <w:t>—</w:t>
      </w:r>
      <w:r w:rsidRPr="00A6205D">
        <w:rPr>
          <w:rFonts w:ascii="Times New Roman" w:hAnsi="Times New Roman"/>
        </w:rPr>
        <w:t>are static. Either the user provides a fixed list of words or a fixed list of topics is inferred from the data in these topic-tracking approaches. However, historians commonly use texts to get a grip o</w:t>
      </w:r>
      <w:r>
        <w:rPr>
          <w:rFonts w:ascii="Times New Roman" w:hAnsi="Times New Roman"/>
        </w:rPr>
        <w:t>n</w:t>
      </w:r>
      <w:r w:rsidRPr="00A6205D">
        <w:rPr>
          <w:rFonts w:ascii="Times New Roman" w:hAnsi="Times New Roman"/>
        </w:rPr>
        <w:t xml:space="preserve"> the continuities and discontinuities throughout time. This involves the recalibration of their hermeneutical framework as they go along</w:t>
      </w:r>
      <w:r>
        <w:rPr>
          <w:rFonts w:ascii="Times New Roman" w:hAnsi="Times New Roman"/>
        </w:rPr>
        <w:t xml:space="preserve">—that is, </w:t>
      </w:r>
      <w:r w:rsidRPr="00A6205D">
        <w:rPr>
          <w:rFonts w:ascii="Times New Roman" w:hAnsi="Times New Roman"/>
        </w:rPr>
        <w:t>the list of words they work with. We propose that digital tools should also be able to provide argumentative evidence for such a methodology in constructing historical narratives.</w:t>
      </w:r>
    </w:p>
    <w:p w:rsidR="004C6888" w:rsidRDefault="004C6888" w:rsidP="00A6205D">
      <w:pPr>
        <w:pStyle w:val="Normal1"/>
        <w:widowControl w:val="0"/>
        <w:pBdr>
          <w:top w:val="none" w:sz="0" w:space="0" w:color="auto"/>
          <w:left w:val="none" w:sz="0" w:space="0" w:color="auto"/>
          <w:bottom w:val="none" w:sz="0" w:space="0" w:color="auto"/>
          <w:right w:val="none" w:sz="0" w:space="0" w:color="auto"/>
          <w:bar w:val="none" w:sz="0" w:color="auto"/>
        </w:pBdr>
        <w:spacing w:after="0" w:line="320" w:lineRule="exact"/>
        <w:ind w:firstLine="720"/>
        <w:rPr>
          <w:rFonts w:ascii="Times New Roman" w:hAnsi="Times New Roman"/>
        </w:rPr>
      </w:pPr>
      <w:r w:rsidRPr="00A6205D">
        <w:rPr>
          <w:rFonts w:ascii="Times New Roman" w:hAnsi="Times New Roman"/>
        </w:rPr>
        <w:t>For this purpose, we introduce a new technique, called CTT (Concepts Through Time)</w:t>
      </w:r>
      <w:r>
        <w:rPr>
          <w:rFonts w:ascii="Times New Roman" w:hAnsi="Times New Roman"/>
        </w:rPr>
        <w:t>,</w:t>
      </w:r>
      <w:r w:rsidRPr="00A6205D">
        <w:rPr>
          <w:rFonts w:ascii="Times New Roman" w:hAnsi="Times New Roman"/>
        </w:rPr>
        <w:t xml:space="preserve"> that aims to resolve the deficiencies of earlier methods. The technique is explicitly developed to account for historical changes in the semantics of concepts, thereby approximating the way historians traditionally have worked within conceptual history. CCT enables historians to trace concepts over large periods without having to manually select appropriate terms for the entire time span and without being dependent on a fixed set of topics. This allows for a greater sensitivity to semantic changes and an increased interactive heuristic approach to concepts within their discursive context.</w:t>
      </w:r>
      <w:r w:rsidR="008466B0">
        <w:rPr>
          <w:rFonts w:ascii="Times New Roman" w:hAnsi="Times New Roman"/>
          <w:vertAlign w:val="superscript"/>
        </w:rPr>
        <w:t>6</w:t>
      </w:r>
      <w:r w:rsidRPr="00A6205D">
        <w:rPr>
          <w:rFonts w:ascii="Times New Roman" w:hAnsi="Times New Roman"/>
        </w:rPr>
        <w:br/>
      </w:r>
      <w:r w:rsidRPr="00A6205D">
        <w:rPr>
          <w:rFonts w:ascii="Times New Roman" w:hAnsi="Times New Roman"/>
        </w:rPr>
        <w:tab/>
        <w:t>Methodologically, CTT is based on word embeddings, as inferred by a neural network trained on a large body of data, to monitor semantically related words. These are created using word2vec</w:t>
      </w:r>
      <w:r>
        <w:rPr>
          <w:rFonts w:ascii="Times New Roman" w:hAnsi="Times New Roman"/>
        </w:rPr>
        <w:t xml:space="preserve"> (Mikolov et al., 2013)</w:t>
      </w:r>
      <w:r w:rsidRPr="00A6205D">
        <w:rPr>
          <w:rFonts w:ascii="Times New Roman" w:hAnsi="Times New Roman"/>
        </w:rPr>
        <w:t>, a computational technique that does not depart from a top-down model of language. Rather, a semantic space is inferred from the input data. Word2vec uses a continuous bag-of-words or a skip-gram architecture in order to produce a multi-dimensional word-vector space. This space contains semantic and linguistic regularities that can be used for the analysis of discourse</w:t>
      </w:r>
      <w:r>
        <w:rPr>
          <w:rFonts w:ascii="Times New Roman" w:hAnsi="Times New Roman"/>
        </w:rPr>
        <w:t xml:space="preserve"> (Baroni et al., 2014; Wijaya and Yeniterzi, 20111)</w:t>
      </w:r>
      <w:r w:rsidRPr="00A6205D">
        <w:rPr>
          <w:rFonts w:ascii="Times New Roman" w:hAnsi="Times New Roman"/>
        </w:rPr>
        <w:t>. A positional shift within the vector space can been established as an indicator for chronological shifts on a semantic and syntactic level</w:t>
      </w:r>
      <w:r>
        <w:rPr>
          <w:rFonts w:ascii="Times New Roman" w:hAnsi="Times New Roman"/>
        </w:rPr>
        <w:t>—</w:t>
      </w:r>
      <w:r w:rsidRPr="00A6205D">
        <w:rPr>
          <w:rFonts w:ascii="Times New Roman" w:hAnsi="Times New Roman"/>
        </w:rPr>
        <w:t>for example</w:t>
      </w:r>
      <w:r>
        <w:rPr>
          <w:rFonts w:ascii="Times New Roman" w:hAnsi="Times New Roman"/>
        </w:rPr>
        <w:t>,</w:t>
      </w:r>
      <w:r w:rsidRPr="00A6205D">
        <w:rPr>
          <w:rFonts w:ascii="Times New Roman" w:hAnsi="Times New Roman"/>
        </w:rPr>
        <w:t xml:space="preserve"> in the use of the words </w:t>
      </w:r>
      <w:r>
        <w:rPr>
          <w:rFonts w:ascii="Times New Roman" w:hAnsi="Times New Roman"/>
        </w:rPr>
        <w:t>‘</w:t>
      </w:r>
      <w:r w:rsidRPr="00A6205D">
        <w:rPr>
          <w:rFonts w:ascii="Times New Roman" w:hAnsi="Times New Roman"/>
        </w:rPr>
        <w:t>gay</w:t>
      </w:r>
      <w:r>
        <w:rPr>
          <w:rFonts w:ascii="Times New Roman" w:hAnsi="Times New Roman"/>
        </w:rPr>
        <w:t>’</w:t>
      </w:r>
      <w:r w:rsidRPr="00A6205D">
        <w:rPr>
          <w:rFonts w:ascii="Times New Roman" w:hAnsi="Times New Roman"/>
        </w:rPr>
        <w:t xml:space="preserve"> and </w:t>
      </w:r>
      <w:r>
        <w:rPr>
          <w:rFonts w:ascii="Times New Roman" w:hAnsi="Times New Roman"/>
        </w:rPr>
        <w:t>‘</w:t>
      </w:r>
      <w:r w:rsidRPr="00A6205D">
        <w:rPr>
          <w:rFonts w:ascii="Times New Roman" w:hAnsi="Times New Roman"/>
        </w:rPr>
        <w:t>cell</w:t>
      </w:r>
      <w:r>
        <w:rPr>
          <w:rFonts w:ascii="Times New Roman" w:hAnsi="Times New Roman"/>
        </w:rPr>
        <w:t>’ (Kim et al., 2014)</w:t>
      </w:r>
      <w:r w:rsidRPr="00A6205D">
        <w:rPr>
          <w:rFonts w:ascii="Times New Roman" w:hAnsi="Times New Roman"/>
        </w:rPr>
        <w:t>.</w:t>
      </w:r>
      <w:r w:rsidR="008466B0">
        <w:rPr>
          <w:rFonts w:ascii="Times New Roman" w:hAnsi="Times New Roman"/>
          <w:vertAlign w:val="superscript"/>
        </w:rPr>
        <w:t>7</w:t>
      </w:r>
      <w:r w:rsidRPr="00A6205D">
        <w:rPr>
          <w:rFonts w:ascii="Times New Roman" w:hAnsi="Times New Roman"/>
        </w:rPr>
        <w:t xml:space="preserve"> This is not done using traditional means of analysis, such as part-of-speech tagging, but by merely observing the geometry in the vector space. However, the authors who have provided the mentioned examples have worked with single words of which the common meaning has shifted almost diametrically. We will be looking at clusters of words and shifts of meaning both large and small.</w:t>
      </w:r>
    </w:p>
    <w:p w:rsidR="004C6888" w:rsidRDefault="004C6888" w:rsidP="00A6205D">
      <w:pPr>
        <w:pStyle w:val="Normal1"/>
        <w:widowControl w:val="0"/>
        <w:pBdr>
          <w:top w:val="none" w:sz="0" w:space="0" w:color="auto"/>
          <w:left w:val="none" w:sz="0" w:space="0" w:color="auto"/>
          <w:bottom w:val="none" w:sz="0" w:space="0" w:color="auto"/>
          <w:right w:val="none" w:sz="0" w:space="0" w:color="auto"/>
          <w:bar w:val="none" w:sz="0" w:color="auto"/>
        </w:pBdr>
        <w:spacing w:after="0" w:line="320" w:lineRule="exact"/>
        <w:ind w:firstLine="720"/>
        <w:rPr>
          <w:rFonts w:ascii="Times New Roman" w:hAnsi="Times New Roman"/>
        </w:rPr>
      </w:pPr>
      <w:r w:rsidRPr="00A6205D">
        <w:rPr>
          <w:rFonts w:ascii="Times New Roman" w:hAnsi="Times New Roman"/>
        </w:rPr>
        <w:t xml:space="preserve">The data we use to trace concepts are the circa 500,000 newspaper issues between 1890 and 1990 that are available in the Dutch National Library’s digitized newspaper archive. We train subsequent semantic model spaces in which we trace groups of terms, </w:t>
      </w:r>
      <w:r w:rsidRPr="00A6205D">
        <w:rPr>
          <w:rFonts w:ascii="Times New Roman" w:hAnsi="Times New Roman"/>
        </w:rPr>
        <w:lastRenderedPageBreak/>
        <w:t xml:space="preserve">rather than individual words, diachronically and synchronically by keeping track of semantic relations between terms per period. For this approach, no pre-established and fixed topic sets </w:t>
      </w:r>
      <w:r>
        <w:rPr>
          <w:rFonts w:ascii="Times New Roman" w:hAnsi="Times New Roman"/>
        </w:rPr>
        <w:t xml:space="preserve">are </w:t>
      </w:r>
      <w:r w:rsidRPr="00A6205D">
        <w:rPr>
          <w:rFonts w:ascii="Times New Roman" w:hAnsi="Times New Roman"/>
        </w:rPr>
        <w:t>needed. We will use a single seed set of terms, merely as an entry</w:t>
      </w:r>
      <w:r>
        <w:rPr>
          <w:rFonts w:ascii="Times New Roman" w:hAnsi="Times New Roman"/>
        </w:rPr>
        <w:t xml:space="preserve"> </w:t>
      </w:r>
      <w:r w:rsidRPr="00A6205D">
        <w:rPr>
          <w:rFonts w:ascii="Times New Roman" w:hAnsi="Times New Roman"/>
        </w:rPr>
        <w:t>point into the cluster to then find semantically related words within the semantic model. We will automatically update the set of related words over time</w:t>
      </w:r>
      <w:r>
        <w:rPr>
          <w:rFonts w:ascii="Times New Roman" w:hAnsi="Times New Roman"/>
        </w:rPr>
        <w:t>,</w:t>
      </w:r>
      <w:r w:rsidRPr="00A6205D">
        <w:rPr>
          <w:rFonts w:ascii="Times New Roman" w:hAnsi="Times New Roman"/>
        </w:rPr>
        <w:t xml:space="preserve"> utilizing the subsequent semantic spaces. A key aspect of this procedure is that the original seed words might disappear from the cluster of words over time.  </w:t>
      </w:r>
    </w:p>
    <w:p w:rsidR="004C6888" w:rsidRDefault="004C6888" w:rsidP="00A6205D">
      <w:pPr>
        <w:pStyle w:val="Normal1"/>
        <w:widowControl w:val="0"/>
        <w:pBdr>
          <w:top w:val="none" w:sz="0" w:space="0" w:color="auto"/>
          <w:left w:val="none" w:sz="0" w:space="0" w:color="auto"/>
          <w:bottom w:val="none" w:sz="0" w:space="0" w:color="auto"/>
          <w:right w:val="none" w:sz="0" w:space="0" w:color="auto"/>
          <w:bar w:val="none" w:sz="0" w:color="auto"/>
        </w:pBdr>
        <w:spacing w:after="0" w:line="320" w:lineRule="exact"/>
        <w:ind w:firstLine="720"/>
        <w:rPr>
          <w:rFonts w:ascii="Times New Roman" w:hAnsi="Times New Roman"/>
        </w:rPr>
      </w:pPr>
      <w:r w:rsidRPr="00A6205D">
        <w:rPr>
          <w:rFonts w:ascii="Times New Roman" w:hAnsi="Times New Roman"/>
        </w:rPr>
        <w:t>The way our word embedding technique clusters words holds surprising similarities with philosopher Gilles Deleuze’s notion of the rhizomatic structure</w:t>
      </w:r>
      <w:r>
        <w:rPr>
          <w:rFonts w:ascii="Times New Roman" w:hAnsi="Times New Roman"/>
        </w:rPr>
        <w:t xml:space="preserve"> (Deleuze, 1987)</w:t>
      </w:r>
      <w:r w:rsidRPr="00A6205D">
        <w:rPr>
          <w:rFonts w:ascii="Times New Roman" w:hAnsi="Times New Roman"/>
        </w:rPr>
        <w:t>.</w:t>
      </w:r>
      <w:r w:rsidR="008466B0">
        <w:rPr>
          <w:rFonts w:ascii="Times New Roman" w:hAnsi="Times New Roman"/>
          <w:vertAlign w:val="superscript"/>
        </w:rPr>
        <w:t>8</w:t>
      </w:r>
      <w:r w:rsidRPr="00A6205D">
        <w:rPr>
          <w:rFonts w:ascii="Times New Roman" w:hAnsi="Times New Roman"/>
        </w:rPr>
        <w:t xml:space="preserve"> Important features of this structure are that it allows for multiple entry and exit points, and that the semantic meaning of a concept is determined through its </w:t>
      </w:r>
      <w:r>
        <w:rPr>
          <w:rFonts w:ascii="Times New Roman" w:hAnsi="Times New Roman"/>
        </w:rPr>
        <w:t>‘</w:t>
      </w:r>
      <w:r w:rsidRPr="00A6205D">
        <w:rPr>
          <w:rFonts w:ascii="Times New Roman" w:hAnsi="Times New Roman"/>
        </w:rPr>
        <w:t>relations of exteriority</w:t>
      </w:r>
      <w:r>
        <w:rPr>
          <w:rFonts w:ascii="Times New Roman" w:hAnsi="Times New Roman"/>
        </w:rPr>
        <w:t xml:space="preserve">’ (DeLanda, 2006, 10–11). </w:t>
      </w:r>
      <w:r w:rsidRPr="00A6205D">
        <w:rPr>
          <w:rFonts w:ascii="Times New Roman" w:hAnsi="Times New Roman"/>
        </w:rPr>
        <w:t>Translated to our approach, the meaning of a term can be considered in terms of the geometric relation in a semantic space.</w:t>
      </w:r>
      <w:r w:rsidR="008466B0">
        <w:rPr>
          <w:rFonts w:ascii="Times New Roman" w:hAnsi="Times New Roman"/>
          <w:vertAlign w:val="superscript"/>
        </w:rPr>
        <w:t>9</w:t>
      </w:r>
      <w:r w:rsidRPr="00A6205D">
        <w:rPr>
          <w:rFonts w:ascii="Times New Roman" w:hAnsi="Times New Roman"/>
        </w:rPr>
        <w:t xml:space="preserve"> Starting from this theory, we aim to focus on the stabilization and destabilization of relational vectors between words, i.e.</w:t>
      </w:r>
      <w:r>
        <w:rPr>
          <w:rFonts w:ascii="Times New Roman" w:hAnsi="Times New Roman"/>
        </w:rPr>
        <w:t>,</w:t>
      </w:r>
      <w:r w:rsidRPr="00A6205D">
        <w:rPr>
          <w:rFonts w:ascii="Times New Roman" w:hAnsi="Times New Roman"/>
        </w:rPr>
        <w:t xml:space="preserve"> the emergence and disappearance of words within a subset, as well as the shifting position of words in relation to one another. The latter could be the effect of forces within the cluster or changing vector relations outside of the cluster. We argue that the semantic space allows us to analyze </w:t>
      </w:r>
      <w:r>
        <w:rPr>
          <w:rFonts w:ascii="Times New Roman" w:hAnsi="Times New Roman"/>
        </w:rPr>
        <w:t>‘</w:t>
      </w:r>
      <w:r w:rsidRPr="00A6205D">
        <w:rPr>
          <w:rFonts w:ascii="Times New Roman" w:hAnsi="Times New Roman"/>
        </w:rPr>
        <w:t>the processes that historically produce the identity of a given whole, but also the processes [coding and decoding] that maintain that identity through time</w:t>
      </w:r>
      <w:r>
        <w:rPr>
          <w:rFonts w:ascii="Times New Roman" w:hAnsi="Times New Roman"/>
        </w:rPr>
        <w:t xml:space="preserve">’ (DeLanda, 2006, 10). </w:t>
      </w:r>
      <w:r w:rsidRPr="00A6205D">
        <w:rPr>
          <w:rFonts w:ascii="Times New Roman" w:hAnsi="Times New Roman"/>
        </w:rPr>
        <w:t xml:space="preserve">Using this approach, we hope to determine words central to a topic and avoid concept drift caused by ambiguous words. </w:t>
      </w:r>
    </w:p>
    <w:p w:rsidR="004C6888" w:rsidRDefault="004C6888" w:rsidP="00A6205D">
      <w:pPr>
        <w:pStyle w:val="Normal1"/>
        <w:widowControl w:val="0"/>
        <w:pBdr>
          <w:top w:val="none" w:sz="0" w:space="0" w:color="auto"/>
          <w:left w:val="none" w:sz="0" w:space="0" w:color="auto"/>
          <w:bottom w:val="none" w:sz="0" w:space="0" w:color="auto"/>
          <w:right w:val="none" w:sz="0" w:space="0" w:color="auto"/>
          <w:bar w:val="none" w:sz="0" w:color="auto"/>
        </w:pBdr>
        <w:spacing w:after="0" w:line="320" w:lineRule="exact"/>
        <w:ind w:firstLine="720"/>
        <w:rPr>
          <w:rFonts w:ascii="Times New Roman" w:hAnsi="Times New Roman"/>
        </w:rPr>
      </w:pPr>
      <w:r w:rsidRPr="00A6205D">
        <w:rPr>
          <w:rFonts w:ascii="Times New Roman" w:hAnsi="Times New Roman"/>
        </w:rPr>
        <w:t>The development of this tool stems from a close collaboration between information retrieval experts and cultural historians. Every single technical or methodological choice has been motivated such that it complied with both sound computational linguistic research and critical historical methods. Consequently, we have high hopes of the applicability of this technique in historical research. We will evaluate our approach through three historical use cases in the context of the historiographical debates on modernization and Americanization in the Netherlands.</w:t>
      </w:r>
      <w:r w:rsidR="008466B0">
        <w:rPr>
          <w:rFonts w:ascii="Times New Roman" w:hAnsi="Times New Roman"/>
          <w:vertAlign w:val="superscript"/>
        </w:rPr>
        <w:t>10</w:t>
      </w:r>
      <w:r w:rsidRPr="00A6205D">
        <w:rPr>
          <w:rFonts w:ascii="Times New Roman" w:hAnsi="Times New Roman"/>
        </w:rPr>
        <w:t xml:space="preserve"> In the first case, we will trace popular consumer goods, such as cigarettes, alcohol, and fast food. This case study sets out to show which consumer goods appeared in newspaper discourse in specific periods. Moreover, it might show us in what wider discursive contexts these consumer goods were discussed</w:t>
      </w:r>
      <w:r>
        <w:rPr>
          <w:rFonts w:ascii="Times New Roman" w:hAnsi="Times New Roman"/>
        </w:rPr>
        <w:t>—</w:t>
      </w:r>
      <w:r w:rsidRPr="00A6205D">
        <w:rPr>
          <w:rFonts w:ascii="Times New Roman" w:hAnsi="Times New Roman"/>
        </w:rPr>
        <w:t>e.g.</w:t>
      </w:r>
      <w:r>
        <w:rPr>
          <w:rFonts w:ascii="Times New Roman" w:hAnsi="Times New Roman"/>
        </w:rPr>
        <w:t>,</w:t>
      </w:r>
      <w:r w:rsidRPr="00A6205D">
        <w:rPr>
          <w:rFonts w:ascii="Times New Roman" w:hAnsi="Times New Roman"/>
        </w:rPr>
        <w:t xml:space="preserve"> as luxury goods or as unhealthy products. The second use case maps out businesses in newspaper discourse. This might shed light on processes of globalization in which local businesses are substituted by multinationals. The final use case deals with the notion of efficiency. The concept was introduced in the Netherlands after the First World War</w:t>
      </w:r>
      <w:r>
        <w:rPr>
          <w:rFonts w:ascii="Times New Roman" w:hAnsi="Times New Roman"/>
        </w:rPr>
        <w:t xml:space="preserve"> (Bloemen, 1988)</w:t>
      </w:r>
      <w:r w:rsidRPr="00A6205D">
        <w:rPr>
          <w:rFonts w:ascii="Times New Roman" w:hAnsi="Times New Roman"/>
        </w:rPr>
        <w:t xml:space="preserve">; we will trace the genealogy of this concept to see whether </w:t>
      </w:r>
      <w:r>
        <w:rPr>
          <w:rFonts w:ascii="Times New Roman" w:hAnsi="Times New Roman"/>
        </w:rPr>
        <w:t xml:space="preserve">it </w:t>
      </w:r>
      <w:r w:rsidRPr="00A6205D">
        <w:rPr>
          <w:rFonts w:ascii="Times New Roman" w:hAnsi="Times New Roman"/>
        </w:rPr>
        <w:t>was already present in earlier discourse without being denoted as ‘efficiency’</w:t>
      </w:r>
      <w:r>
        <w:rPr>
          <w:rFonts w:ascii="Times New Roman" w:hAnsi="Times New Roman"/>
        </w:rPr>
        <w:t>.</w:t>
      </w:r>
      <w:r w:rsidRPr="00A6205D">
        <w:rPr>
          <w:rFonts w:ascii="Times New Roman" w:hAnsi="Times New Roman"/>
        </w:rPr>
        <w:t xml:space="preserve"> In our final paper, we will show a formalization of the search strategies used to trace concepts through time. Furthermore, we will reflect on the </w:t>
      </w:r>
      <w:r w:rsidRPr="00A6205D">
        <w:rPr>
          <w:rFonts w:ascii="Times New Roman" w:hAnsi="Times New Roman"/>
        </w:rPr>
        <w:lastRenderedPageBreak/>
        <w:t xml:space="preserve">representativeness of the newspaper archive as well as the applicability of the method to other corpora. </w:t>
      </w:r>
    </w:p>
    <w:p w:rsidR="004C6888" w:rsidRDefault="004C6888" w:rsidP="00A6205D">
      <w:pPr>
        <w:pStyle w:val="Normal1"/>
        <w:widowControl w:val="0"/>
        <w:pBdr>
          <w:top w:val="none" w:sz="0" w:space="0" w:color="auto"/>
          <w:left w:val="none" w:sz="0" w:space="0" w:color="auto"/>
          <w:bottom w:val="none" w:sz="0" w:space="0" w:color="auto"/>
          <w:right w:val="none" w:sz="0" w:space="0" w:color="auto"/>
          <w:bar w:val="none" w:sz="0" w:color="auto"/>
        </w:pBdr>
        <w:spacing w:after="0" w:line="320" w:lineRule="exact"/>
        <w:ind w:firstLine="720"/>
        <w:rPr>
          <w:rFonts w:ascii="Times New Roman" w:hAnsi="Times New Roman"/>
        </w:rPr>
      </w:pPr>
    </w:p>
    <w:p w:rsidR="008466B0" w:rsidRPr="008466B0" w:rsidRDefault="008466B0" w:rsidP="00F72F14">
      <w:pPr>
        <w:pStyle w:val="Normal1"/>
        <w:widowControl w:val="0"/>
        <w:pBdr>
          <w:top w:val="none" w:sz="0" w:space="0" w:color="auto"/>
          <w:left w:val="none" w:sz="0" w:space="0" w:color="auto"/>
          <w:bottom w:val="none" w:sz="0" w:space="0" w:color="auto"/>
          <w:right w:val="none" w:sz="0" w:space="0" w:color="auto"/>
          <w:bar w:val="none" w:sz="0" w:color="auto"/>
        </w:pBdr>
        <w:spacing w:after="0" w:line="320" w:lineRule="exact"/>
        <w:ind w:firstLine="0"/>
        <w:rPr>
          <w:rFonts w:ascii="Times New Roman" w:hAnsi="Times New Roman"/>
          <w:b/>
        </w:rPr>
      </w:pPr>
      <w:r w:rsidRPr="008466B0">
        <w:rPr>
          <w:rFonts w:ascii="Times New Roman" w:hAnsi="Times New Roman"/>
          <w:b/>
        </w:rPr>
        <w:t>Notes</w:t>
      </w:r>
    </w:p>
    <w:p w:rsidR="008466B0" w:rsidRPr="008466B0" w:rsidRDefault="008466B0" w:rsidP="008466B0">
      <w:pPr>
        <w:pStyle w:val="Footnote"/>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Pr>
          <w:sz w:val="24"/>
          <w:szCs w:val="24"/>
        </w:rPr>
        <w:t xml:space="preserve">1. </w:t>
      </w:r>
      <w:r w:rsidRPr="008466B0">
        <w:rPr>
          <w:sz w:val="24"/>
          <w:szCs w:val="24"/>
        </w:rPr>
        <w:t>This collection includes over half a million newspapers for the 1890–1995 period. See www.delpher.nl.</w:t>
      </w:r>
    </w:p>
    <w:p w:rsidR="008466B0" w:rsidRPr="008466B0" w:rsidRDefault="008466B0" w:rsidP="008466B0">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Pr>
          <w:rFonts w:hAnsi="Arial Unicode MS" w:cs="Arial Unicode MS"/>
          <w:sz w:val="24"/>
          <w:szCs w:val="24"/>
        </w:rPr>
        <w:t xml:space="preserve">2. </w:t>
      </w:r>
      <w:r w:rsidRPr="008466B0">
        <w:rPr>
          <w:rFonts w:hAnsi="Arial Unicode MS" w:cs="Arial Unicode MS"/>
          <w:sz w:val="24"/>
          <w:szCs w:val="24"/>
        </w:rPr>
        <w:t xml:space="preserve">This paper is part of the research project Translantis, which looks into the role of the United States as a reference culture in Dutch public discourse. Therefore, the chosen case studies are related to issues of Americanization within the field of consumer society and economy. </w:t>
      </w:r>
    </w:p>
    <w:p w:rsidR="008466B0" w:rsidRPr="008466B0" w:rsidRDefault="008466B0" w:rsidP="008466B0">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Pr>
          <w:rFonts w:hAnsi="Arial Unicode MS" w:cs="Arial Unicode MS"/>
          <w:sz w:val="24"/>
          <w:szCs w:val="24"/>
        </w:rPr>
        <w:t xml:space="preserve">3. </w:t>
      </w:r>
      <w:r w:rsidRPr="008466B0">
        <w:rPr>
          <w:rFonts w:hAnsi="Arial Unicode MS" w:cs="Arial Unicode MS"/>
          <w:sz w:val="24"/>
          <w:szCs w:val="24"/>
        </w:rPr>
        <w:t>Collaboration between computational experts and humanities scholars is an elemental part of the digital humanities. See Burdick et al. (2012), pp. 15</w:t>
      </w:r>
      <w:r w:rsidRPr="008466B0">
        <w:rPr>
          <w:rFonts w:ascii="Arial Unicode MS" w:cs="Arial Unicode MS"/>
          <w:sz w:val="24"/>
          <w:szCs w:val="24"/>
        </w:rPr>
        <w:t>–</w:t>
      </w:r>
      <w:r w:rsidRPr="008466B0">
        <w:rPr>
          <w:rFonts w:hAnsi="Arial Unicode MS" w:cs="Arial Unicode MS"/>
          <w:sz w:val="24"/>
          <w:szCs w:val="24"/>
        </w:rPr>
        <w:t>17.</w:t>
      </w:r>
    </w:p>
    <w:p w:rsidR="008466B0" w:rsidRPr="008466B0" w:rsidRDefault="008466B0" w:rsidP="008466B0">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Pr>
          <w:rFonts w:hAnsi="Arial Unicode MS" w:cs="Arial Unicode MS"/>
          <w:sz w:val="24"/>
          <w:szCs w:val="24"/>
        </w:rPr>
        <w:t xml:space="preserve">4. </w:t>
      </w:r>
      <w:r w:rsidRPr="008466B0">
        <w:rPr>
          <w:rFonts w:hAnsi="Arial Unicode MS" w:cs="Arial Unicode MS"/>
          <w:sz w:val="24"/>
          <w:szCs w:val="24"/>
        </w:rPr>
        <w:t>This method was adopted to study eugenics by Huijnen et al. (2014).</w:t>
      </w:r>
    </w:p>
    <w:p w:rsidR="008466B0" w:rsidRPr="008466B0" w:rsidRDefault="008466B0" w:rsidP="008466B0">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Pr>
          <w:rFonts w:hAnsi="Arial Unicode MS" w:cs="Arial Unicode MS"/>
          <w:sz w:val="24"/>
          <w:szCs w:val="24"/>
        </w:rPr>
        <w:t xml:space="preserve">5. </w:t>
      </w:r>
      <w:r w:rsidRPr="008466B0">
        <w:rPr>
          <w:rFonts w:hAnsi="Arial Unicode MS" w:cs="Arial Unicode MS"/>
          <w:sz w:val="24"/>
          <w:szCs w:val="24"/>
        </w:rPr>
        <w:t>For an explanation of topic modeling, see Blei and Lafferty (2009). For uses of topic modeling in historical research, see Newman and Block (2006); Mimno (2012); Blevins (2010); Wittek and Ravenek (2011).</w:t>
      </w:r>
    </w:p>
    <w:p w:rsidR="008466B0" w:rsidRPr="008466B0" w:rsidRDefault="008466B0" w:rsidP="008466B0">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Pr>
          <w:rFonts w:hAnsi="Arial Unicode MS" w:cs="Arial Unicode MS"/>
          <w:sz w:val="24"/>
          <w:szCs w:val="24"/>
        </w:rPr>
        <w:t xml:space="preserve">6. </w:t>
      </w:r>
      <w:r w:rsidRPr="008466B0">
        <w:rPr>
          <w:rFonts w:hAnsi="Arial Unicode MS" w:cs="Arial Unicode MS"/>
          <w:sz w:val="24"/>
          <w:szCs w:val="24"/>
        </w:rPr>
        <w:t>The importance of context for historical research is eloquently expressed in Snickars (2012).</w:t>
      </w:r>
    </w:p>
    <w:p w:rsidR="008466B0" w:rsidRPr="008466B0" w:rsidRDefault="008466B0" w:rsidP="008466B0">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Pr>
          <w:rFonts w:hAnsi="Arial Unicode MS" w:cs="Arial Unicode MS"/>
          <w:sz w:val="24"/>
          <w:szCs w:val="24"/>
        </w:rPr>
        <w:t xml:space="preserve">7. </w:t>
      </w:r>
      <w:r w:rsidRPr="008466B0">
        <w:rPr>
          <w:rFonts w:hAnsi="Arial Unicode MS" w:cs="Arial Unicode MS"/>
          <w:sz w:val="24"/>
          <w:szCs w:val="24"/>
        </w:rPr>
        <w:t>In Kim et al.</w:t>
      </w:r>
      <w:r w:rsidRPr="008466B0">
        <w:rPr>
          <w:rFonts w:hAnsi="Arial Unicode MS" w:cs="Arial Unicode MS"/>
          <w:sz w:val="24"/>
          <w:szCs w:val="24"/>
        </w:rPr>
        <w:t>’</w:t>
      </w:r>
      <w:r w:rsidRPr="008466B0">
        <w:rPr>
          <w:rFonts w:hAnsi="Arial Unicode MS" w:cs="Arial Unicode MS"/>
          <w:sz w:val="24"/>
          <w:szCs w:val="24"/>
        </w:rPr>
        <w:t xml:space="preserve">s paper, the authors show how </w:t>
      </w:r>
      <w:r w:rsidRPr="008466B0">
        <w:rPr>
          <w:rFonts w:hAnsi="Arial Unicode MS" w:cs="Arial Unicode MS"/>
          <w:sz w:val="24"/>
          <w:szCs w:val="24"/>
        </w:rPr>
        <w:t>‘</w:t>
      </w:r>
      <w:r w:rsidRPr="008466B0">
        <w:rPr>
          <w:rFonts w:hAnsi="Arial Unicode MS" w:cs="Arial Unicode MS"/>
          <w:sz w:val="24"/>
          <w:szCs w:val="24"/>
        </w:rPr>
        <w:t>gay</w:t>
      </w:r>
      <w:r w:rsidRPr="008466B0">
        <w:rPr>
          <w:rFonts w:hAnsi="Arial Unicode MS" w:cs="Arial Unicode MS"/>
          <w:sz w:val="24"/>
          <w:szCs w:val="24"/>
        </w:rPr>
        <w:t>’</w:t>
      </w:r>
      <w:r w:rsidRPr="008466B0">
        <w:rPr>
          <w:rFonts w:hAnsi="Arial Unicode MS" w:cs="Arial Unicode MS"/>
          <w:sz w:val="24"/>
          <w:szCs w:val="24"/>
        </w:rPr>
        <w:t xml:space="preserve"> has shifted from the connotation with an emotion to sexuality, and </w:t>
      </w:r>
      <w:r w:rsidRPr="008466B0">
        <w:rPr>
          <w:rFonts w:hAnsi="Arial Unicode MS" w:cs="Arial Unicode MS"/>
          <w:sz w:val="24"/>
          <w:szCs w:val="24"/>
        </w:rPr>
        <w:t>‘</w:t>
      </w:r>
      <w:r w:rsidRPr="008466B0">
        <w:rPr>
          <w:rFonts w:hAnsi="Arial Unicode MS" w:cs="Arial Unicode MS"/>
          <w:sz w:val="24"/>
          <w:szCs w:val="24"/>
        </w:rPr>
        <w:t>cell</w:t>
      </w:r>
      <w:r w:rsidRPr="008466B0">
        <w:rPr>
          <w:rFonts w:hAnsi="Arial Unicode MS" w:cs="Arial Unicode MS"/>
          <w:sz w:val="24"/>
          <w:szCs w:val="24"/>
        </w:rPr>
        <w:t>’</w:t>
      </w:r>
      <w:r w:rsidRPr="008466B0">
        <w:rPr>
          <w:rFonts w:hAnsi="Arial Unicode MS" w:cs="Arial Unicode MS"/>
          <w:sz w:val="24"/>
          <w:szCs w:val="24"/>
        </w:rPr>
        <w:t xml:space="preserve"> has shifted from the denotation of a prison cell to the cellular phone. </w:t>
      </w:r>
    </w:p>
    <w:p w:rsidR="008466B0" w:rsidRPr="008466B0" w:rsidRDefault="008466B0" w:rsidP="008466B0">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Pr>
          <w:rFonts w:hAnsi="Arial Unicode MS" w:cs="Arial Unicode MS"/>
          <w:sz w:val="24"/>
          <w:szCs w:val="24"/>
        </w:rPr>
        <w:t xml:space="preserve">8. </w:t>
      </w:r>
      <w:r w:rsidRPr="008466B0">
        <w:rPr>
          <w:rFonts w:hAnsi="Arial Unicode MS" w:cs="Arial Unicode MS"/>
          <w:sz w:val="24"/>
          <w:szCs w:val="24"/>
        </w:rPr>
        <w:t xml:space="preserve">For a clear description of rhizomatic thinking and assemblage theory, see </w:t>
      </w:r>
      <w:r w:rsidRPr="008466B0">
        <w:rPr>
          <w:rFonts w:ascii="Arial Unicode MS" w:cs="Arial Unicode MS"/>
          <w:sz w:val="24"/>
          <w:szCs w:val="24"/>
        </w:rPr>
        <w:t>‘</w:t>
      </w:r>
      <w:r w:rsidRPr="008466B0">
        <w:rPr>
          <w:rFonts w:hAnsi="Arial Unicode MS" w:cs="Arial Unicode MS"/>
          <w:sz w:val="24"/>
          <w:szCs w:val="24"/>
        </w:rPr>
        <w:t>Assemblage Theory</w:t>
      </w:r>
      <w:r w:rsidRPr="008466B0">
        <w:rPr>
          <w:rFonts w:hAnsi="Arial Unicode MS" w:cs="Arial Unicode MS"/>
          <w:sz w:val="24"/>
          <w:szCs w:val="24"/>
        </w:rPr>
        <w:t>’</w:t>
      </w:r>
      <w:r w:rsidRPr="008466B0">
        <w:rPr>
          <w:rFonts w:hAnsi="Arial Unicode MS" w:cs="Arial Unicode MS"/>
          <w:sz w:val="24"/>
          <w:szCs w:val="24"/>
        </w:rPr>
        <w:t xml:space="preserve"> (2010). An interesting implementation of Deleuze</w:t>
      </w:r>
      <w:r w:rsidRPr="008466B0">
        <w:rPr>
          <w:rFonts w:ascii="Arial Unicode MS" w:cs="Arial Unicode MS"/>
          <w:sz w:val="24"/>
          <w:szCs w:val="24"/>
        </w:rPr>
        <w:t>’</w:t>
      </w:r>
      <w:r w:rsidRPr="008466B0">
        <w:rPr>
          <w:rFonts w:hAnsi="Arial Unicode MS" w:cs="Arial Unicode MS"/>
          <w:sz w:val="24"/>
          <w:szCs w:val="24"/>
        </w:rPr>
        <w:t>s notion of assemblage and rhizome has been performed by DeLanda (2006).</w:t>
      </w:r>
    </w:p>
    <w:p w:rsidR="008466B0" w:rsidRPr="008466B0" w:rsidRDefault="008466B0" w:rsidP="008466B0">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Pr>
          <w:rFonts w:hAnsi="Arial Unicode MS" w:cs="Arial Unicode MS"/>
          <w:sz w:val="24"/>
          <w:szCs w:val="24"/>
        </w:rPr>
        <w:t xml:space="preserve">9. </w:t>
      </w:r>
      <w:r w:rsidRPr="008466B0">
        <w:rPr>
          <w:rFonts w:hAnsi="Arial Unicode MS" w:cs="Arial Unicode MS"/>
          <w:sz w:val="24"/>
          <w:szCs w:val="24"/>
        </w:rPr>
        <w:t>Michel Foucault makes a similar point when he argues that the meaning of an expression cannot be simply deduced from syntactic and semantic meaning. Rather, one should look into the conditions in which expressions appear and change</w:t>
      </w:r>
      <w:r w:rsidRPr="008466B0">
        <w:rPr>
          <w:rFonts w:hAnsi="Arial Unicode MS" w:cs="Arial Unicode MS"/>
          <w:sz w:val="24"/>
          <w:szCs w:val="24"/>
        </w:rPr>
        <w:t>—</w:t>
      </w:r>
      <w:r w:rsidRPr="008466B0">
        <w:rPr>
          <w:rFonts w:hAnsi="Arial Unicode MS" w:cs="Arial Unicode MS"/>
          <w:sz w:val="24"/>
          <w:szCs w:val="24"/>
        </w:rPr>
        <w:t xml:space="preserve">in his words, </w:t>
      </w:r>
      <w:r w:rsidRPr="008466B0">
        <w:rPr>
          <w:rFonts w:ascii="Arial Unicode MS" w:cs="Arial Unicode MS"/>
          <w:sz w:val="24"/>
          <w:szCs w:val="24"/>
        </w:rPr>
        <w:t>‘</w:t>
      </w:r>
      <w:r w:rsidRPr="008466B0">
        <w:rPr>
          <w:rFonts w:hAnsi="Arial Unicode MS" w:cs="Arial Unicode MS"/>
          <w:sz w:val="24"/>
          <w:szCs w:val="24"/>
        </w:rPr>
        <w:t>by the analysis of the relations between the statement and the spaces of differentiation, in which the statement itself reveals the differences</w:t>
      </w:r>
      <w:r w:rsidRPr="008466B0">
        <w:rPr>
          <w:rFonts w:hAnsi="Arial Unicode MS" w:cs="Arial Unicode MS"/>
          <w:sz w:val="24"/>
          <w:szCs w:val="24"/>
        </w:rPr>
        <w:t>’</w:t>
      </w:r>
      <w:r w:rsidRPr="008466B0">
        <w:rPr>
          <w:rFonts w:hAnsi="Arial Unicode MS" w:cs="Arial Unicode MS"/>
          <w:sz w:val="24"/>
          <w:szCs w:val="24"/>
        </w:rPr>
        <w:t>.</w:t>
      </w:r>
      <w:r w:rsidRPr="008466B0">
        <w:rPr>
          <w:rFonts w:ascii="Arial Unicode MS" w:cs="Arial Unicode MS"/>
          <w:sz w:val="24"/>
          <w:szCs w:val="24"/>
        </w:rPr>
        <w:t xml:space="preserve"> </w:t>
      </w:r>
      <w:r w:rsidRPr="008466B0">
        <w:rPr>
          <w:rFonts w:hAnsi="Arial Unicode MS" w:cs="Arial Unicode MS"/>
          <w:sz w:val="24"/>
          <w:szCs w:val="24"/>
        </w:rPr>
        <w:t>See Foucault (2012) .</w:t>
      </w:r>
    </w:p>
    <w:p w:rsidR="008466B0" w:rsidRPr="008466B0" w:rsidRDefault="008466B0" w:rsidP="008466B0">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Pr>
          <w:rFonts w:hAnsi="Arial Unicode MS" w:cs="Arial Unicode MS"/>
          <w:sz w:val="24"/>
          <w:szCs w:val="24"/>
        </w:rPr>
        <w:t xml:space="preserve">10. </w:t>
      </w:r>
      <w:r w:rsidRPr="008466B0">
        <w:rPr>
          <w:rFonts w:hAnsi="Arial Unicode MS" w:cs="Arial Unicode MS"/>
          <w:sz w:val="24"/>
          <w:szCs w:val="24"/>
        </w:rPr>
        <w:t xml:space="preserve">These use cases stem from the Translantis research project. See </w:t>
      </w:r>
      <w:r w:rsidRPr="008466B0">
        <w:rPr>
          <w:rStyle w:val="Hyperlink1"/>
          <w:rFonts w:hAnsi="Arial Unicode MS" w:cs="Arial Unicode MS"/>
          <w:color w:val="auto"/>
          <w:sz w:val="24"/>
          <w:szCs w:val="24"/>
          <w:u w:val="none"/>
        </w:rPr>
        <w:t>www.translantis.nl</w:t>
      </w:r>
      <w:r w:rsidRPr="008466B0">
        <w:rPr>
          <w:rFonts w:hAnsi="Arial Unicode MS" w:cs="Arial Unicode MS"/>
          <w:sz w:val="24"/>
          <w:szCs w:val="24"/>
        </w:rPr>
        <w:t xml:space="preserve"> and van Eijnatten et al., 2013.</w:t>
      </w:r>
    </w:p>
    <w:p w:rsidR="008466B0" w:rsidRDefault="008466B0" w:rsidP="00F72F14">
      <w:pPr>
        <w:pStyle w:val="Normal1"/>
        <w:widowControl w:val="0"/>
        <w:pBdr>
          <w:top w:val="none" w:sz="0" w:space="0" w:color="auto"/>
          <w:left w:val="none" w:sz="0" w:space="0" w:color="auto"/>
          <w:bottom w:val="none" w:sz="0" w:space="0" w:color="auto"/>
          <w:right w:val="none" w:sz="0" w:space="0" w:color="auto"/>
          <w:bar w:val="none" w:sz="0" w:color="auto"/>
        </w:pBdr>
        <w:spacing w:after="0" w:line="320" w:lineRule="exact"/>
        <w:ind w:firstLine="0"/>
        <w:rPr>
          <w:rFonts w:ascii="Times New Roman" w:hAnsi="Times New Roman"/>
          <w:b/>
        </w:rPr>
      </w:pPr>
    </w:p>
    <w:p w:rsidR="004C6888" w:rsidRDefault="004C6888" w:rsidP="00F72F14">
      <w:pPr>
        <w:pStyle w:val="Normal1"/>
        <w:widowControl w:val="0"/>
        <w:pBdr>
          <w:top w:val="none" w:sz="0" w:space="0" w:color="auto"/>
          <w:left w:val="none" w:sz="0" w:space="0" w:color="auto"/>
          <w:bottom w:val="none" w:sz="0" w:space="0" w:color="auto"/>
          <w:right w:val="none" w:sz="0" w:space="0" w:color="auto"/>
          <w:bar w:val="none" w:sz="0" w:color="auto"/>
        </w:pBdr>
        <w:spacing w:after="0" w:line="320" w:lineRule="exact"/>
        <w:ind w:firstLine="0"/>
        <w:rPr>
          <w:rFonts w:ascii="Times New Roman" w:hAnsi="Times New Roman"/>
          <w:b/>
        </w:rPr>
      </w:pPr>
      <w:r>
        <w:rPr>
          <w:rFonts w:ascii="Times New Roman" w:hAnsi="Times New Roman"/>
          <w:b/>
        </w:rPr>
        <w:t>References</w:t>
      </w:r>
    </w:p>
    <w:p w:rsidR="004C6888"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rFonts w:hAnsi="Arial Unicode MS" w:cs="Arial Unicode MS"/>
          <w:sz w:val="24"/>
          <w:szCs w:val="24"/>
        </w:rPr>
      </w:pPr>
      <w:r w:rsidRPr="001B4197">
        <w:rPr>
          <w:rFonts w:ascii="Arial Unicode MS" w:cs="Arial Unicode MS"/>
          <w:b/>
          <w:sz w:val="24"/>
          <w:szCs w:val="24"/>
        </w:rPr>
        <w:t>‘</w:t>
      </w:r>
      <w:r w:rsidRPr="001B4197">
        <w:rPr>
          <w:rFonts w:hAnsi="Arial Unicode MS" w:cs="Arial Unicode MS"/>
          <w:b/>
          <w:sz w:val="24"/>
          <w:szCs w:val="24"/>
        </w:rPr>
        <w:t>Assemblage Theory</w:t>
      </w:r>
      <w:r w:rsidRPr="001B4197">
        <w:rPr>
          <w:rFonts w:hAnsi="Arial Unicode MS" w:cs="Arial Unicode MS"/>
          <w:b/>
          <w:sz w:val="24"/>
          <w:szCs w:val="24"/>
        </w:rPr>
        <w:t>’</w:t>
      </w:r>
      <w:r w:rsidRPr="001B4197">
        <w:rPr>
          <w:rFonts w:hAnsi="Arial Unicode MS" w:cs="Arial Unicode MS"/>
          <w:b/>
          <w:sz w:val="24"/>
          <w:szCs w:val="24"/>
        </w:rPr>
        <w:t>.</w:t>
      </w:r>
      <w:r>
        <w:rPr>
          <w:rFonts w:hAnsi="Arial Unicode MS" w:cs="Arial Unicode MS"/>
          <w:sz w:val="24"/>
          <w:szCs w:val="24"/>
        </w:rPr>
        <w:t xml:space="preserve"> (2010). </w:t>
      </w:r>
      <w:r w:rsidRPr="00840AC2">
        <w:rPr>
          <w:rFonts w:hAnsi="Arial Unicode MS" w:cs="Arial Unicode MS"/>
          <w:sz w:val="24"/>
          <w:szCs w:val="24"/>
        </w:rPr>
        <w:t xml:space="preserve">Texas Theory Wiki, </w:t>
      </w:r>
      <w:r w:rsidRPr="001B4197">
        <w:rPr>
          <w:rFonts w:hAnsi="Arial Unicode MS" w:cs="Arial Unicode MS"/>
          <w:iCs/>
          <w:sz w:val="24"/>
          <w:szCs w:val="24"/>
        </w:rPr>
        <w:t>Assemblage Theory</w:t>
      </w:r>
      <w:r w:rsidRPr="001B4197">
        <w:rPr>
          <w:rFonts w:hAnsi="Arial Unicode MS" w:cs="Arial Unicode MS"/>
          <w:sz w:val="24"/>
          <w:szCs w:val="24"/>
        </w:rPr>
        <w:t>,</w:t>
      </w:r>
      <w:r>
        <w:rPr>
          <w:rFonts w:hAnsi="Arial Unicode MS" w:cs="Arial Unicode MS"/>
          <w:sz w:val="24"/>
          <w:szCs w:val="24"/>
        </w:rPr>
        <w:t xml:space="preserve"> </w:t>
      </w:r>
      <w:r w:rsidRPr="00840AC2">
        <w:rPr>
          <w:rFonts w:hAnsi="Arial Unicode MS" w:cs="Arial Unicode MS"/>
          <w:sz w:val="24"/>
          <w:szCs w:val="24"/>
        </w:rPr>
        <w:t xml:space="preserve">http://wikis.la.utexas.edu/theory/page/assemblage-theory. </w:t>
      </w:r>
    </w:p>
    <w:p w:rsidR="004C6888"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rFonts w:hAnsi="Arial Unicode MS" w:cs="Arial Unicode MS"/>
          <w:sz w:val="24"/>
          <w:szCs w:val="24"/>
        </w:rPr>
      </w:pPr>
      <w:r w:rsidRPr="001B4197">
        <w:rPr>
          <w:rFonts w:hAnsi="Arial Unicode MS" w:cs="Arial Unicode MS"/>
          <w:b/>
          <w:sz w:val="24"/>
          <w:szCs w:val="24"/>
        </w:rPr>
        <w:t>Baroni, M., Dinu, G. and Kruszewski, G.</w:t>
      </w:r>
      <w:r>
        <w:rPr>
          <w:rFonts w:hAnsi="Arial Unicode MS" w:cs="Arial Unicode MS"/>
          <w:sz w:val="24"/>
          <w:szCs w:val="24"/>
        </w:rPr>
        <w:t xml:space="preserve"> (2014). </w:t>
      </w:r>
      <w:r w:rsidRPr="00840AC2">
        <w:rPr>
          <w:rFonts w:hAnsi="Arial Unicode MS" w:cs="Arial Unicode MS"/>
          <w:sz w:val="24"/>
          <w:szCs w:val="24"/>
        </w:rPr>
        <w:t>Don</w:t>
      </w:r>
      <w:r w:rsidRPr="00840AC2">
        <w:rPr>
          <w:rFonts w:ascii="Arial Unicode MS" w:cs="Arial Unicode MS"/>
          <w:sz w:val="24"/>
          <w:szCs w:val="24"/>
        </w:rPr>
        <w:t>’</w:t>
      </w:r>
      <w:r w:rsidRPr="00840AC2">
        <w:rPr>
          <w:rFonts w:hAnsi="Arial Unicode MS" w:cs="Arial Unicode MS"/>
          <w:sz w:val="24"/>
          <w:szCs w:val="24"/>
        </w:rPr>
        <w:t>t Count, Predict! A Systematic Comparison of Context-Counting vs. Context-Predicting Semantic Vectors</w:t>
      </w:r>
      <w:r w:rsidR="002B3F95">
        <w:rPr>
          <w:rFonts w:hAnsi="Arial Unicode MS" w:cs="Arial Unicode MS"/>
          <w:sz w:val="24"/>
          <w:szCs w:val="24"/>
        </w:rPr>
        <w:t>.</w:t>
      </w:r>
      <w:r>
        <w:rPr>
          <w:rFonts w:hAnsi="Arial Unicode MS" w:cs="Arial Unicode MS"/>
          <w:sz w:val="24"/>
          <w:szCs w:val="24"/>
        </w:rPr>
        <w:t xml:space="preserve"> </w:t>
      </w:r>
      <w:r w:rsidRPr="00840AC2">
        <w:rPr>
          <w:rFonts w:hAnsi="Arial Unicode MS" w:cs="Arial Unicode MS"/>
          <w:sz w:val="24"/>
          <w:szCs w:val="24"/>
        </w:rPr>
        <w:t>http://anthology.aclweb.org/P/P14/P14-1023.xhtml</w:t>
      </w:r>
      <w:r>
        <w:rPr>
          <w:rFonts w:hAnsi="Arial Unicode MS" w:cs="Arial Unicode MS"/>
          <w:sz w:val="24"/>
          <w:szCs w:val="24"/>
        </w:rPr>
        <w:t>.</w:t>
      </w:r>
    </w:p>
    <w:p w:rsidR="004C6888" w:rsidRDefault="004C6888" w:rsidP="0055456F">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rFonts w:hAnsi="Arial Unicode MS" w:cs="Arial Unicode MS"/>
          <w:sz w:val="24"/>
          <w:szCs w:val="24"/>
        </w:rPr>
      </w:pPr>
      <w:r w:rsidRPr="0055456F">
        <w:rPr>
          <w:rFonts w:hAnsi="Arial Unicode MS" w:cs="Arial Unicode MS"/>
          <w:b/>
          <w:sz w:val="24"/>
          <w:szCs w:val="24"/>
        </w:rPr>
        <w:t>Blei, D. M. and Lafferty, J. D.</w:t>
      </w:r>
      <w:r>
        <w:rPr>
          <w:rFonts w:hAnsi="Arial Unicode MS" w:cs="Arial Unicode MS"/>
          <w:sz w:val="24"/>
          <w:szCs w:val="24"/>
        </w:rPr>
        <w:t xml:space="preserve"> (2009). </w:t>
      </w:r>
      <w:r w:rsidRPr="00840AC2">
        <w:rPr>
          <w:rFonts w:hAnsi="Arial Unicode MS" w:cs="Arial Unicode MS"/>
          <w:sz w:val="24"/>
          <w:szCs w:val="24"/>
        </w:rPr>
        <w:t>Topic Models</w:t>
      </w:r>
      <w:r>
        <w:rPr>
          <w:rFonts w:hAnsi="Arial Unicode MS" w:cs="Arial Unicode MS"/>
          <w:sz w:val="24"/>
          <w:szCs w:val="24"/>
        </w:rPr>
        <w:t>.</w:t>
      </w:r>
      <w:r w:rsidRPr="00840AC2">
        <w:rPr>
          <w:rFonts w:ascii="Arial Unicode MS" w:cs="Arial Unicode MS"/>
          <w:sz w:val="24"/>
          <w:szCs w:val="24"/>
        </w:rPr>
        <w:t xml:space="preserve"> </w:t>
      </w:r>
      <w:r w:rsidRPr="00840AC2">
        <w:rPr>
          <w:rFonts w:hAnsi="Arial Unicode MS" w:cs="Arial Unicode MS"/>
          <w:i/>
          <w:iCs/>
          <w:sz w:val="24"/>
          <w:szCs w:val="24"/>
        </w:rPr>
        <w:t>Text Mining: Classification, Clustering, and Applications</w:t>
      </w:r>
      <w:r>
        <w:rPr>
          <w:rFonts w:hAnsi="Arial Unicode MS" w:cs="Arial Unicode MS"/>
          <w:i/>
          <w:iCs/>
          <w:sz w:val="24"/>
          <w:szCs w:val="24"/>
        </w:rPr>
        <w:t>,</w:t>
      </w:r>
      <w:r w:rsidRPr="00840AC2">
        <w:rPr>
          <w:rFonts w:hAnsi="Arial Unicode MS" w:cs="Arial Unicode MS"/>
          <w:sz w:val="24"/>
          <w:szCs w:val="24"/>
        </w:rPr>
        <w:t xml:space="preserve"> </w:t>
      </w:r>
      <w:r w:rsidRPr="0055456F">
        <w:rPr>
          <w:rFonts w:hAnsi="Arial Unicode MS" w:cs="Arial Unicode MS"/>
          <w:b/>
          <w:sz w:val="24"/>
          <w:szCs w:val="24"/>
        </w:rPr>
        <w:t>10</w:t>
      </w:r>
      <w:r>
        <w:rPr>
          <w:rFonts w:hAnsi="Arial Unicode MS" w:cs="Arial Unicode MS"/>
          <w:sz w:val="24"/>
          <w:szCs w:val="24"/>
        </w:rPr>
        <w:t>:</w:t>
      </w:r>
      <w:r w:rsidRPr="00840AC2">
        <w:rPr>
          <w:rFonts w:hAnsi="Arial Unicode MS" w:cs="Arial Unicode MS"/>
          <w:sz w:val="24"/>
          <w:szCs w:val="24"/>
        </w:rPr>
        <w:t xml:space="preserve"> 71. </w:t>
      </w:r>
    </w:p>
    <w:p w:rsidR="004C6888" w:rsidRDefault="004C6888" w:rsidP="0055456F">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rFonts w:hAnsi="Arial Unicode MS" w:cs="Arial Unicode MS"/>
          <w:sz w:val="24"/>
          <w:szCs w:val="24"/>
        </w:rPr>
      </w:pPr>
      <w:r w:rsidRPr="0055456F">
        <w:rPr>
          <w:rFonts w:hAnsi="Arial Unicode MS" w:cs="Arial Unicode MS"/>
          <w:b/>
          <w:sz w:val="24"/>
          <w:szCs w:val="24"/>
        </w:rPr>
        <w:t xml:space="preserve">Blevins, C. </w:t>
      </w:r>
      <w:r>
        <w:rPr>
          <w:rFonts w:hAnsi="Arial Unicode MS" w:cs="Arial Unicode MS"/>
          <w:sz w:val="24"/>
          <w:szCs w:val="24"/>
        </w:rPr>
        <w:t xml:space="preserve">(2010). </w:t>
      </w:r>
      <w:r w:rsidRPr="00840AC2">
        <w:rPr>
          <w:rFonts w:hAnsi="Arial Unicode MS" w:cs="Arial Unicode MS"/>
          <w:sz w:val="24"/>
          <w:szCs w:val="24"/>
        </w:rPr>
        <w:t>Topic Modeling Martha Ballard</w:t>
      </w:r>
      <w:r w:rsidRPr="00840AC2">
        <w:rPr>
          <w:rFonts w:ascii="Arial Unicode MS" w:cs="Arial Unicode MS"/>
          <w:sz w:val="24"/>
          <w:szCs w:val="24"/>
        </w:rPr>
        <w:t>’</w:t>
      </w:r>
      <w:r w:rsidRPr="00840AC2">
        <w:rPr>
          <w:rFonts w:hAnsi="Arial Unicode MS" w:cs="Arial Unicode MS"/>
          <w:sz w:val="24"/>
          <w:szCs w:val="24"/>
        </w:rPr>
        <w:t>s Diary</w:t>
      </w:r>
      <w:r>
        <w:rPr>
          <w:rFonts w:hAnsi="Arial Unicode MS" w:cs="Arial Unicode MS"/>
          <w:sz w:val="24"/>
          <w:szCs w:val="24"/>
        </w:rPr>
        <w:t>.</w:t>
      </w:r>
      <w:r w:rsidRPr="00840AC2">
        <w:rPr>
          <w:rFonts w:ascii="Arial Unicode MS" w:cs="Arial Unicode MS"/>
          <w:sz w:val="24"/>
          <w:szCs w:val="24"/>
        </w:rPr>
        <w:t xml:space="preserve"> </w:t>
      </w:r>
      <w:r w:rsidRPr="00840AC2">
        <w:rPr>
          <w:rFonts w:hAnsi="Arial Unicode MS" w:cs="Arial Unicode MS"/>
          <w:i/>
          <w:iCs/>
          <w:sz w:val="24"/>
          <w:szCs w:val="24"/>
        </w:rPr>
        <w:t>Historying</w:t>
      </w:r>
      <w:r>
        <w:rPr>
          <w:rFonts w:hAnsi="Arial Unicode MS" w:cs="Arial Unicode MS"/>
          <w:i/>
          <w:iCs/>
          <w:sz w:val="24"/>
          <w:szCs w:val="24"/>
        </w:rPr>
        <w:t>,</w:t>
      </w:r>
      <w:r w:rsidRPr="00840AC2">
        <w:rPr>
          <w:rFonts w:hAnsi="Arial Unicode MS" w:cs="Arial Unicode MS"/>
          <w:sz w:val="24"/>
          <w:szCs w:val="24"/>
        </w:rPr>
        <w:t xml:space="preserve"> </w:t>
      </w:r>
      <w:r>
        <w:rPr>
          <w:rFonts w:hAnsi="Arial Unicode MS" w:cs="Arial Unicode MS"/>
          <w:sz w:val="24"/>
          <w:szCs w:val="24"/>
        </w:rPr>
        <w:t>1</w:t>
      </w:r>
      <w:r w:rsidR="002B3F95">
        <w:rPr>
          <w:rFonts w:hAnsi="Arial Unicode MS" w:cs="Arial Unicode MS"/>
          <w:sz w:val="24"/>
          <w:szCs w:val="24"/>
        </w:rPr>
        <w:t xml:space="preserve"> </w:t>
      </w:r>
      <w:r w:rsidRPr="00840AC2">
        <w:rPr>
          <w:rFonts w:hAnsi="Arial Unicode MS" w:cs="Arial Unicode MS"/>
          <w:sz w:val="24"/>
          <w:szCs w:val="24"/>
        </w:rPr>
        <w:t>April, http://historying.org/2010/04/01/topic-modeling-martha-ballards-diary/</w:t>
      </w:r>
      <w:r>
        <w:rPr>
          <w:rFonts w:hAnsi="Arial Unicode MS" w:cs="Arial Unicode MS"/>
          <w:sz w:val="24"/>
          <w:szCs w:val="24"/>
        </w:rPr>
        <w:t>.</w:t>
      </w:r>
    </w:p>
    <w:p w:rsidR="004C6888" w:rsidRPr="00840AC2"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sidRPr="001B4197">
        <w:rPr>
          <w:rFonts w:hAnsi="Arial Unicode MS" w:cs="Arial Unicode MS"/>
          <w:b/>
          <w:sz w:val="24"/>
          <w:szCs w:val="24"/>
        </w:rPr>
        <w:t>Bloemen, E.</w:t>
      </w:r>
      <w:r>
        <w:rPr>
          <w:rFonts w:hAnsi="Arial Unicode MS" w:cs="Arial Unicode MS"/>
          <w:sz w:val="24"/>
          <w:szCs w:val="24"/>
        </w:rPr>
        <w:t xml:space="preserve"> (1988). </w:t>
      </w:r>
      <w:r w:rsidRPr="00840AC2">
        <w:rPr>
          <w:rFonts w:hAnsi="Arial Unicode MS" w:cs="Arial Unicode MS"/>
          <w:i/>
          <w:iCs/>
          <w:sz w:val="24"/>
          <w:szCs w:val="24"/>
        </w:rPr>
        <w:t>Scientifi</w:t>
      </w:r>
      <w:r>
        <w:rPr>
          <w:rFonts w:hAnsi="Arial Unicode MS" w:cs="Arial Unicode MS"/>
          <w:i/>
          <w:iCs/>
          <w:sz w:val="24"/>
          <w:szCs w:val="24"/>
        </w:rPr>
        <w:t>c Management in Nederland, 1900</w:t>
      </w:r>
      <w:r>
        <w:rPr>
          <w:rFonts w:hAnsi="Arial Unicode MS" w:cs="Arial Unicode MS"/>
          <w:i/>
          <w:iCs/>
          <w:sz w:val="24"/>
          <w:szCs w:val="24"/>
        </w:rPr>
        <w:t>–</w:t>
      </w:r>
      <w:r w:rsidRPr="00840AC2">
        <w:rPr>
          <w:rFonts w:hAnsi="Arial Unicode MS" w:cs="Arial Unicode MS"/>
          <w:i/>
          <w:iCs/>
          <w:sz w:val="24"/>
          <w:szCs w:val="24"/>
        </w:rPr>
        <w:t>1930</w:t>
      </w:r>
      <w:r>
        <w:rPr>
          <w:rFonts w:hAnsi="Arial Unicode MS" w:cs="Arial Unicode MS"/>
          <w:iCs/>
          <w:sz w:val="24"/>
          <w:szCs w:val="24"/>
        </w:rPr>
        <w:t>.</w:t>
      </w:r>
      <w:r w:rsidRPr="00840AC2">
        <w:rPr>
          <w:rFonts w:hAnsi="Arial Unicode MS" w:cs="Arial Unicode MS"/>
          <w:sz w:val="24"/>
          <w:szCs w:val="24"/>
        </w:rPr>
        <w:t xml:space="preserve"> Doctoral thesis, </w:t>
      </w:r>
      <w:r>
        <w:rPr>
          <w:rFonts w:hAnsi="Arial Unicode MS" w:cs="Arial Unicode MS"/>
          <w:sz w:val="24"/>
          <w:szCs w:val="24"/>
        </w:rPr>
        <w:t>Leiden.</w:t>
      </w:r>
    </w:p>
    <w:p w:rsidR="004C6888" w:rsidRPr="00840AC2"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sidRPr="001B4197">
        <w:rPr>
          <w:rFonts w:hAnsi="Arial Unicode MS" w:cs="Arial Unicode MS"/>
          <w:b/>
          <w:sz w:val="24"/>
          <w:szCs w:val="24"/>
        </w:rPr>
        <w:lastRenderedPageBreak/>
        <w:t>Bogers, T. and Van den Bosch, A.</w:t>
      </w:r>
      <w:r>
        <w:rPr>
          <w:rFonts w:hAnsi="Arial Unicode MS" w:cs="Arial Unicode MS"/>
          <w:sz w:val="24"/>
          <w:szCs w:val="24"/>
        </w:rPr>
        <w:t xml:space="preserve"> (2008). </w:t>
      </w:r>
      <w:r w:rsidRPr="00840AC2">
        <w:rPr>
          <w:rFonts w:hAnsi="Arial Unicode MS" w:cs="Arial Unicode MS"/>
          <w:sz w:val="24"/>
          <w:szCs w:val="24"/>
        </w:rPr>
        <w:t>Recommending Scientific Articles Using Citeulike</w:t>
      </w:r>
      <w:r>
        <w:rPr>
          <w:rFonts w:hAnsi="Arial Unicode MS" w:cs="Arial Unicode MS"/>
          <w:sz w:val="24"/>
          <w:szCs w:val="24"/>
        </w:rPr>
        <w:t>. I</w:t>
      </w:r>
      <w:r w:rsidRPr="00840AC2">
        <w:rPr>
          <w:rFonts w:hAnsi="Arial Unicode MS" w:cs="Arial Unicode MS"/>
          <w:sz w:val="24"/>
          <w:szCs w:val="24"/>
        </w:rPr>
        <w:t xml:space="preserve">n </w:t>
      </w:r>
      <w:r w:rsidRPr="00840AC2">
        <w:rPr>
          <w:rFonts w:hAnsi="Arial Unicode MS" w:cs="Arial Unicode MS"/>
          <w:i/>
          <w:iCs/>
          <w:sz w:val="24"/>
          <w:szCs w:val="24"/>
        </w:rPr>
        <w:t>Proceedings of the 2008 ACM Conference on Recommender Systems</w:t>
      </w:r>
      <w:r>
        <w:rPr>
          <w:rFonts w:hAnsi="Arial Unicode MS" w:cs="Arial Unicode MS"/>
          <w:sz w:val="24"/>
          <w:szCs w:val="24"/>
        </w:rPr>
        <w:t xml:space="preserve">. </w:t>
      </w:r>
      <w:r w:rsidRPr="00840AC2">
        <w:rPr>
          <w:rFonts w:hAnsi="Arial Unicode MS" w:cs="Arial Unicode MS"/>
          <w:sz w:val="24"/>
          <w:szCs w:val="24"/>
        </w:rPr>
        <w:t xml:space="preserve">ACM, </w:t>
      </w:r>
      <w:r>
        <w:rPr>
          <w:rFonts w:hAnsi="Arial Unicode MS" w:cs="Arial Unicode MS"/>
          <w:sz w:val="24"/>
          <w:szCs w:val="24"/>
        </w:rPr>
        <w:t xml:space="preserve">pp. </w:t>
      </w:r>
      <w:r w:rsidRPr="00840AC2">
        <w:rPr>
          <w:rFonts w:hAnsi="Arial Unicode MS" w:cs="Arial Unicode MS"/>
          <w:sz w:val="24"/>
          <w:szCs w:val="24"/>
        </w:rPr>
        <w:t>287</w:t>
      </w:r>
      <w:r w:rsidRPr="00840AC2">
        <w:rPr>
          <w:rFonts w:ascii="Arial Unicode MS" w:cs="Arial Unicode MS"/>
          <w:sz w:val="24"/>
          <w:szCs w:val="24"/>
        </w:rPr>
        <w:t>–</w:t>
      </w:r>
      <w:r w:rsidRPr="00840AC2">
        <w:rPr>
          <w:rFonts w:hAnsi="Arial Unicode MS" w:cs="Arial Unicode MS"/>
          <w:sz w:val="24"/>
          <w:szCs w:val="24"/>
        </w:rPr>
        <w:t>90, http://dl.acm.org/citation.cfm?id=1454053.</w:t>
      </w:r>
    </w:p>
    <w:p w:rsidR="004C6888" w:rsidRDefault="004C6888" w:rsidP="00F72F14">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rFonts w:hAnsi="Arial Unicode MS" w:cs="Arial Unicode MS"/>
          <w:sz w:val="24"/>
          <w:szCs w:val="24"/>
        </w:rPr>
      </w:pPr>
      <w:r w:rsidRPr="00F72F14">
        <w:rPr>
          <w:rFonts w:hAnsi="Arial Unicode MS" w:cs="Arial Unicode MS"/>
          <w:b/>
          <w:sz w:val="24"/>
          <w:szCs w:val="24"/>
        </w:rPr>
        <w:t>Burdick, A., et al.</w:t>
      </w:r>
      <w:r w:rsidRPr="00F72F14">
        <w:rPr>
          <w:rFonts w:hAnsi="Arial Unicode MS" w:cs="Arial Unicode MS"/>
          <w:sz w:val="24"/>
          <w:szCs w:val="24"/>
        </w:rPr>
        <w:t xml:space="preserve"> </w:t>
      </w:r>
      <w:r>
        <w:rPr>
          <w:rFonts w:hAnsi="Arial Unicode MS" w:cs="Arial Unicode MS"/>
          <w:sz w:val="24"/>
          <w:szCs w:val="24"/>
        </w:rPr>
        <w:t>(eds). (2012).</w:t>
      </w:r>
      <w:r w:rsidRPr="00F72F14">
        <w:rPr>
          <w:rFonts w:hAnsi="Arial Unicode MS" w:cs="Arial Unicode MS"/>
          <w:sz w:val="24"/>
          <w:szCs w:val="24"/>
        </w:rPr>
        <w:t xml:space="preserve"> </w:t>
      </w:r>
      <w:r w:rsidRPr="00F72F14">
        <w:rPr>
          <w:rFonts w:hAnsi="Arial Unicode MS" w:cs="Arial Unicode MS"/>
          <w:i/>
          <w:iCs/>
          <w:sz w:val="24"/>
          <w:szCs w:val="24"/>
        </w:rPr>
        <w:t>Digital Humanities</w:t>
      </w:r>
      <w:r>
        <w:rPr>
          <w:rFonts w:hAnsi="Arial Unicode MS" w:cs="Arial Unicode MS"/>
          <w:sz w:val="24"/>
          <w:szCs w:val="24"/>
        </w:rPr>
        <w:t xml:space="preserve">. MIT Press, </w:t>
      </w:r>
      <w:r w:rsidRPr="00F72F14">
        <w:rPr>
          <w:rFonts w:hAnsi="Arial Unicode MS" w:cs="Arial Unicode MS"/>
          <w:sz w:val="24"/>
          <w:szCs w:val="24"/>
        </w:rPr>
        <w:t>Cambridge</w:t>
      </w:r>
      <w:r>
        <w:rPr>
          <w:rFonts w:hAnsi="Arial Unicode MS" w:cs="Arial Unicode MS"/>
          <w:sz w:val="24"/>
          <w:szCs w:val="24"/>
        </w:rPr>
        <w:t>, MA.</w:t>
      </w:r>
    </w:p>
    <w:p w:rsidR="004C6888" w:rsidRPr="00840AC2"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sidRPr="001B4197">
        <w:rPr>
          <w:rFonts w:hAnsi="Arial Unicode MS" w:cs="Arial Unicode MS"/>
          <w:b/>
          <w:sz w:val="24"/>
          <w:szCs w:val="24"/>
        </w:rPr>
        <w:t>DeLanda, M.</w:t>
      </w:r>
      <w:r>
        <w:rPr>
          <w:rFonts w:hAnsi="Arial Unicode MS" w:cs="Arial Unicode MS"/>
          <w:sz w:val="24"/>
          <w:szCs w:val="24"/>
        </w:rPr>
        <w:t xml:space="preserve"> (2006). </w:t>
      </w:r>
      <w:r w:rsidRPr="00840AC2">
        <w:rPr>
          <w:rFonts w:hAnsi="Arial Unicode MS" w:cs="Arial Unicode MS"/>
          <w:i/>
          <w:iCs/>
          <w:sz w:val="24"/>
          <w:szCs w:val="24"/>
        </w:rPr>
        <w:t>A New Philosophy of Society: Assemblage Theory and Social Complexity</w:t>
      </w:r>
      <w:r>
        <w:rPr>
          <w:rFonts w:hAnsi="Arial Unicode MS" w:cs="Arial Unicode MS"/>
          <w:sz w:val="24"/>
          <w:szCs w:val="24"/>
        </w:rPr>
        <w:t>.</w:t>
      </w:r>
      <w:r w:rsidRPr="00840AC2">
        <w:rPr>
          <w:rFonts w:hAnsi="Arial Unicode MS" w:cs="Arial Unicode MS"/>
          <w:sz w:val="24"/>
          <w:szCs w:val="24"/>
        </w:rPr>
        <w:t xml:space="preserve"> Continuum, </w:t>
      </w:r>
      <w:r>
        <w:rPr>
          <w:rFonts w:hAnsi="Arial Unicode MS" w:cs="Arial Unicode MS"/>
          <w:sz w:val="24"/>
          <w:szCs w:val="24"/>
        </w:rPr>
        <w:t>London.</w:t>
      </w:r>
    </w:p>
    <w:p w:rsidR="004C6888"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rFonts w:hAnsi="Arial Unicode MS" w:cs="Arial Unicode MS"/>
          <w:sz w:val="24"/>
          <w:szCs w:val="24"/>
        </w:rPr>
      </w:pPr>
      <w:r w:rsidRPr="001B4197">
        <w:rPr>
          <w:rFonts w:hAnsi="Arial Unicode MS" w:cs="Arial Unicode MS"/>
          <w:b/>
          <w:sz w:val="24"/>
          <w:szCs w:val="24"/>
        </w:rPr>
        <w:t>Deleuze, G.</w:t>
      </w:r>
      <w:r>
        <w:rPr>
          <w:rFonts w:hAnsi="Arial Unicode MS" w:cs="Arial Unicode MS"/>
          <w:sz w:val="24"/>
          <w:szCs w:val="24"/>
        </w:rPr>
        <w:t xml:space="preserve"> (1987). </w:t>
      </w:r>
      <w:r w:rsidRPr="00840AC2">
        <w:rPr>
          <w:rFonts w:hAnsi="Arial Unicode MS" w:cs="Arial Unicode MS"/>
          <w:i/>
          <w:iCs/>
          <w:sz w:val="24"/>
          <w:szCs w:val="24"/>
        </w:rPr>
        <w:t>A Thousand Plateaus: Capitalism and Schizophrenia</w:t>
      </w:r>
      <w:r>
        <w:rPr>
          <w:rFonts w:hAnsi="Arial Unicode MS" w:cs="Arial Unicode MS"/>
          <w:sz w:val="24"/>
          <w:szCs w:val="24"/>
        </w:rPr>
        <w:t xml:space="preserve">. Minneapolis: </w:t>
      </w:r>
      <w:r w:rsidRPr="00840AC2">
        <w:rPr>
          <w:rFonts w:hAnsi="Arial Unicode MS" w:cs="Arial Unicode MS"/>
          <w:sz w:val="24"/>
          <w:szCs w:val="24"/>
        </w:rPr>
        <w:t xml:space="preserve">University of Minnesota Press, </w:t>
      </w:r>
      <w:r>
        <w:rPr>
          <w:rFonts w:hAnsi="Arial Unicode MS" w:cs="Arial Unicode MS"/>
          <w:sz w:val="24"/>
          <w:szCs w:val="24"/>
        </w:rPr>
        <w:t>pp.</w:t>
      </w:r>
      <w:r w:rsidRPr="00840AC2">
        <w:rPr>
          <w:rFonts w:hAnsi="Arial Unicode MS" w:cs="Arial Unicode MS"/>
          <w:sz w:val="24"/>
          <w:szCs w:val="24"/>
        </w:rPr>
        <w:t xml:space="preserve"> 6</w:t>
      </w:r>
      <w:r w:rsidRPr="00840AC2">
        <w:rPr>
          <w:rFonts w:ascii="Arial Unicode MS" w:cs="Arial Unicode MS"/>
          <w:sz w:val="24"/>
          <w:szCs w:val="24"/>
        </w:rPr>
        <w:t>–</w:t>
      </w:r>
      <w:r w:rsidRPr="00840AC2">
        <w:rPr>
          <w:rFonts w:hAnsi="Arial Unicode MS" w:cs="Arial Unicode MS"/>
          <w:sz w:val="24"/>
          <w:szCs w:val="24"/>
        </w:rPr>
        <w:t>23</w:t>
      </w:r>
      <w:r>
        <w:rPr>
          <w:rFonts w:hAnsi="Arial Unicode MS" w:cs="Arial Unicode MS"/>
          <w:sz w:val="24"/>
          <w:szCs w:val="24"/>
        </w:rPr>
        <w:t>.</w:t>
      </w:r>
    </w:p>
    <w:p w:rsidR="004C6888" w:rsidRPr="00840AC2"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sidRPr="001B4197">
        <w:rPr>
          <w:rFonts w:hAnsi="Arial Unicode MS" w:cs="Arial Unicode MS"/>
          <w:b/>
          <w:sz w:val="24"/>
          <w:szCs w:val="24"/>
        </w:rPr>
        <w:t>Foucault, M.</w:t>
      </w:r>
      <w:r>
        <w:rPr>
          <w:rFonts w:hAnsi="Arial Unicode MS" w:cs="Arial Unicode MS"/>
          <w:sz w:val="24"/>
          <w:szCs w:val="24"/>
        </w:rPr>
        <w:t xml:space="preserve"> (2012). </w:t>
      </w:r>
      <w:r w:rsidRPr="00840AC2">
        <w:rPr>
          <w:rFonts w:hAnsi="Arial Unicode MS" w:cs="Arial Unicode MS"/>
          <w:i/>
          <w:iCs/>
          <w:sz w:val="24"/>
          <w:szCs w:val="24"/>
        </w:rPr>
        <w:t>The Archaeology of Knowledge [1974]</w:t>
      </w:r>
      <w:r>
        <w:rPr>
          <w:rFonts w:hAnsi="Arial Unicode MS" w:cs="Arial Unicode MS"/>
          <w:sz w:val="24"/>
          <w:szCs w:val="24"/>
        </w:rPr>
        <w:t>.</w:t>
      </w:r>
      <w:r w:rsidRPr="00840AC2">
        <w:rPr>
          <w:rFonts w:hAnsi="Arial Unicode MS" w:cs="Arial Unicode MS"/>
          <w:sz w:val="24"/>
          <w:szCs w:val="24"/>
        </w:rPr>
        <w:t xml:space="preserve"> Random House, </w:t>
      </w:r>
      <w:r>
        <w:rPr>
          <w:rFonts w:hAnsi="Arial Unicode MS" w:cs="Arial Unicode MS"/>
          <w:sz w:val="24"/>
          <w:szCs w:val="24"/>
        </w:rPr>
        <w:t>London.</w:t>
      </w:r>
      <w:r w:rsidRPr="00840AC2">
        <w:rPr>
          <w:rFonts w:hAnsi="Arial Unicode MS" w:cs="Arial Unicode MS"/>
          <w:sz w:val="24"/>
          <w:szCs w:val="24"/>
        </w:rPr>
        <w:t xml:space="preserve"> </w:t>
      </w:r>
    </w:p>
    <w:p w:rsidR="004C6888" w:rsidRDefault="004C6888" w:rsidP="0055456F">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rFonts w:hAnsi="Arial Unicode MS" w:cs="Arial Unicode MS"/>
          <w:sz w:val="24"/>
          <w:szCs w:val="24"/>
        </w:rPr>
      </w:pPr>
      <w:r w:rsidRPr="0055456F">
        <w:rPr>
          <w:rFonts w:hAnsi="Arial Unicode MS" w:cs="Arial Unicode MS"/>
          <w:b/>
          <w:sz w:val="24"/>
          <w:szCs w:val="24"/>
        </w:rPr>
        <w:t>Grover, C., et al.</w:t>
      </w:r>
      <w:r>
        <w:rPr>
          <w:rFonts w:hAnsi="Arial Unicode MS" w:cs="Arial Unicode MS"/>
          <w:sz w:val="24"/>
          <w:szCs w:val="24"/>
        </w:rPr>
        <w:t xml:space="preserve"> (2008).</w:t>
      </w:r>
      <w:r w:rsidRPr="00840AC2">
        <w:rPr>
          <w:rFonts w:hAnsi="Arial Unicode MS" w:cs="Arial Unicode MS"/>
          <w:sz w:val="24"/>
          <w:szCs w:val="24"/>
        </w:rPr>
        <w:t xml:space="preserve"> Named Entity Recognition for Digitised Historical Texts.</w:t>
      </w:r>
      <w:r w:rsidRPr="00840AC2">
        <w:rPr>
          <w:rFonts w:ascii="Arial Unicode MS" w:cs="Arial Unicode MS"/>
          <w:sz w:val="24"/>
          <w:szCs w:val="24"/>
        </w:rPr>
        <w:t xml:space="preserve"> </w:t>
      </w:r>
      <w:r>
        <w:rPr>
          <w:rFonts w:hAnsi="Arial Unicode MS" w:cs="Arial Unicode MS"/>
          <w:sz w:val="24"/>
          <w:szCs w:val="24"/>
        </w:rPr>
        <w:t>I</w:t>
      </w:r>
      <w:r w:rsidRPr="00840AC2">
        <w:rPr>
          <w:rFonts w:hAnsi="Arial Unicode MS" w:cs="Arial Unicode MS"/>
          <w:sz w:val="24"/>
          <w:szCs w:val="24"/>
        </w:rPr>
        <w:t xml:space="preserve">n </w:t>
      </w:r>
      <w:r w:rsidRPr="00840AC2">
        <w:rPr>
          <w:rFonts w:hAnsi="Arial Unicode MS" w:cs="Arial Unicode MS"/>
          <w:i/>
          <w:iCs/>
          <w:sz w:val="24"/>
          <w:szCs w:val="24"/>
        </w:rPr>
        <w:t>LREC</w:t>
      </w:r>
      <w:r w:rsidRPr="00840AC2">
        <w:rPr>
          <w:rFonts w:hAnsi="Arial Unicode MS" w:cs="Arial Unicode MS"/>
          <w:sz w:val="24"/>
          <w:szCs w:val="24"/>
        </w:rPr>
        <w:t>, http://ltg.ed.ac.uk/np/publications/ltg/paper</w:t>
      </w:r>
      <w:r>
        <w:rPr>
          <w:rFonts w:hAnsi="Arial Unicode MS" w:cs="Arial Unicode MS"/>
          <w:sz w:val="24"/>
          <w:szCs w:val="24"/>
        </w:rPr>
        <w:t>s/bopcris-lrec.pdf.</w:t>
      </w:r>
    </w:p>
    <w:p w:rsidR="004C6888" w:rsidRPr="00F72F14" w:rsidRDefault="004C6888" w:rsidP="00F72F14">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sidRPr="00F72F14">
        <w:rPr>
          <w:rFonts w:hAnsi="Arial Unicode MS" w:cs="Arial Unicode MS"/>
          <w:b/>
          <w:sz w:val="24"/>
          <w:szCs w:val="24"/>
        </w:rPr>
        <w:t>Huijnen, P., et al.</w:t>
      </w:r>
      <w:r>
        <w:rPr>
          <w:rFonts w:hAnsi="Arial Unicode MS" w:cs="Arial Unicode MS"/>
          <w:sz w:val="24"/>
          <w:szCs w:val="24"/>
        </w:rPr>
        <w:t xml:space="preserve"> (2014).</w:t>
      </w:r>
      <w:r w:rsidRPr="00F72F14">
        <w:rPr>
          <w:rFonts w:hAnsi="Arial Unicode MS" w:cs="Arial Unicode MS"/>
          <w:sz w:val="24"/>
          <w:szCs w:val="24"/>
        </w:rPr>
        <w:t xml:space="preserve"> A Digital Humanities Approach to the History of Science</w:t>
      </w:r>
      <w:r>
        <w:rPr>
          <w:rFonts w:hAnsi="Arial Unicode MS" w:cs="Arial Unicode MS"/>
          <w:sz w:val="24"/>
          <w:szCs w:val="24"/>
        </w:rPr>
        <w:t>. I</w:t>
      </w:r>
      <w:r w:rsidRPr="00F72F14">
        <w:rPr>
          <w:rFonts w:hAnsi="Arial Unicode MS" w:cs="Arial Unicode MS"/>
          <w:sz w:val="24"/>
          <w:szCs w:val="24"/>
        </w:rPr>
        <w:t>n Nadamoto</w:t>
      </w:r>
      <w:r>
        <w:rPr>
          <w:rFonts w:hAnsi="Arial Unicode MS" w:cs="Arial Unicode MS"/>
          <w:sz w:val="24"/>
          <w:szCs w:val="24"/>
        </w:rPr>
        <w:t>, A.,</w:t>
      </w:r>
      <w:r w:rsidRPr="00F72F14">
        <w:rPr>
          <w:rFonts w:hAnsi="Arial Unicode MS" w:cs="Arial Unicode MS"/>
          <w:sz w:val="24"/>
          <w:szCs w:val="24"/>
        </w:rPr>
        <w:t xml:space="preserve"> et al.</w:t>
      </w:r>
      <w:r>
        <w:rPr>
          <w:rFonts w:hAnsi="Arial Unicode MS" w:cs="Arial Unicode MS"/>
          <w:sz w:val="24"/>
          <w:szCs w:val="24"/>
        </w:rPr>
        <w:t xml:space="preserve"> (eds)</w:t>
      </w:r>
      <w:r w:rsidRPr="00F72F14">
        <w:rPr>
          <w:rFonts w:hAnsi="Arial Unicode MS" w:cs="Arial Unicode MS"/>
          <w:sz w:val="24"/>
          <w:szCs w:val="24"/>
        </w:rPr>
        <w:t xml:space="preserve">, </w:t>
      </w:r>
      <w:r w:rsidRPr="00840AC2">
        <w:rPr>
          <w:rFonts w:hAnsi="Arial Unicode MS" w:cs="Arial Unicode MS"/>
          <w:i/>
          <w:iCs/>
          <w:sz w:val="24"/>
          <w:szCs w:val="24"/>
        </w:rPr>
        <w:t>Social Informatics</w:t>
      </w:r>
      <w:r w:rsidRPr="00840AC2">
        <w:rPr>
          <w:rFonts w:hAnsi="Arial Unicode MS" w:cs="Arial Unicode MS"/>
          <w:sz w:val="24"/>
          <w:szCs w:val="24"/>
        </w:rPr>
        <w:t xml:space="preserve">, </w:t>
      </w:r>
      <w:r w:rsidRPr="00F72F14">
        <w:rPr>
          <w:rFonts w:hAnsi="Arial Unicode MS" w:cs="Arial Unicode MS"/>
          <w:sz w:val="24"/>
          <w:szCs w:val="24"/>
        </w:rPr>
        <w:t>Lecture Notes in Computer Science 8359</w:t>
      </w:r>
      <w:r>
        <w:rPr>
          <w:rFonts w:hAnsi="Arial Unicode MS" w:cs="Arial Unicode MS"/>
          <w:sz w:val="24"/>
          <w:szCs w:val="24"/>
        </w:rPr>
        <w:t xml:space="preserve">. Berlin: </w:t>
      </w:r>
      <w:r w:rsidRPr="00F72F14">
        <w:rPr>
          <w:rFonts w:hAnsi="Arial Unicode MS" w:cs="Arial Unicode MS"/>
          <w:sz w:val="24"/>
          <w:szCs w:val="24"/>
        </w:rPr>
        <w:t xml:space="preserve">Springer, </w:t>
      </w:r>
      <w:r>
        <w:rPr>
          <w:rFonts w:hAnsi="Arial Unicode MS" w:cs="Arial Unicode MS"/>
          <w:sz w:val="24"/>
          <w:szCs w:val="24"/>
        </w:rPr>
        <w:t xml:space="preserve">pp. </w:t>
      </w:r>
      <w:r w:rsidRPr="00F72F14">
        <w:rPr>
          <w:rFonts w:hAnsi="Arial Unicode MS" w:cs="Arial Unicode MS"/>
          <w:sz w:val="24"/>
          <w:szCs w:val="24"/>
        </w:rPr>
        <w:t>71</w:t>
      </w:r>
      <w:r w:rsidRPr="00840AC2">
        <w:rPr>
          <w:rFonts w:ascii="Arial Unicode MS" w:cs="Arial Unicode MS"/>
          <w:sz w:val="24"/>
          <w:szCs w:val="24"/>
        </w:rPr>
        <w:t>–</w:t>
      </w:r>
      <w:r w:rsidRPr="00F72F14">
        <w:rPr>
          <w:rFonts w:hAnsi="Arial Unicode MS" w:cs="Arial Unicode MS"/>
          <w:sz w:val="24"/>
          <w:szCs w:val="24"/>
        </w:rPr>
        <w:t>85.</w:t>
      </w:r>
    </w:p>
    <w:p w:rsidR="004C6888" w:rsidRPr="00840AC2"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sidRPr="001B4197">
        <w:rPr>
          <w:rFonts w:hAnsi="Arial Unicode MS" w:cs="Arial Unicode MS"/>
          <w:b/>
          <w:sz w:val="24"/>
          <w:szCs w:val="24"/>
        </w:rPr>
        <w:t>Kim, Y., et al.</w:t>
      </w:r>
      <w:r>
        <w:rPr>
          <w:rFonts w:hAnsi="Arial Unicode MS" w:cs="Arial Unicode MS"/>
          <w:sz w:val="24"/>
          <w:szCs w:val="24"/>
        </w:rPr>
        <w:t xml:space="preserve"> (2014). </w:t>
      </w:r>
      <w:r w:rsidRPr="00840AC2">
        <w:rPr>
          <w:rFonts w:hAnsi="Arial Unicode MS" w:cs="Arial Unicode MS"/>
          <w:sz w:val="24"/>
          <w:szCs w:val="24"/>
        </w:rPr>
        <w:t>Temporal Analysis of Language through Neural Language Models</w:t>
      </w:r>
      <w:r>
        <w:rPr>
          <w:rFonts w:hAnsi="Arial Unicode MS" w:cs="Arial Unicode MS"/>
          <w:sz w:val="24"/>
          <w:szCs w:val="24"/>
        </w:rPr>
        <w:t>.</w:t>
      </w:r>
      <w:r w:rsidRPr="00840AC2">
        <w:rPr>
          <w:rFonts w:ascii="Arial Unicode MS" w:cs="Arial Unicode MS"/>
          <w:sz w:val="24"/>
          <w:szCs w:val="24"/>
        </w:rPr>
        <w:t xml:space="preserve"> </w:t>
      </w:r>
      <w:r w:rsidRPr="00840AC2">
        <w:rPr>
          <w:rFonts w:hAnsi="Arial Unicode MS" w:cs="Arial Unicode MS"/>
          <w:i/>
          <w:iCs/>
          <w:sz w:val="24"/>
          <w:szCs w:val="24"/>
        </w:rPr>
        <w:t>arXiv:1405.3515 [cs]</w:t>
      </w:r>
      <w:r w:rsidRPr="00840AC2">
        <w:rPr>
          <w:rFonts w:hAnsi="Arial Unicode MS" w:cs="Arial Unicode MS"/>
          <w:sz w:val="24"/>
          <w:szCs w:val="24"/>
        </w:rPr>
        <w:t xml:space="preserve">, </w:t>
      </w:r>
      <w:r>
        <w:rPr>
          <w:rFonts w:hAnsi="Arial Unicode MS" w:cs="Arial Unicode MS"/>
          <w:sz w:val="24"/>
          <w:szCs w:val="24"/>
        </w:rPr>
        <w:t xml:space="preserve">14 </w:t>
      </w:r>
      <w:r w:rsidRPr="00840AC2">
        <w:rPr>
          <w:rFonts w:hAnsi="Arial Unicode MS" w:cs="Arial Unicode MS"/>
          <w:sz w:val="24"/>
          <w:szCs w:val="24"/>
        </w:rPr>
        <w:t>May</w:t>
      </w:r>
      <w:r>
        <w:rPr>
          <w:rFonts w:hAnsi="Arial Unicode MS" w:cs="Arial Unicode MS"/>
          <w:sz w:val="24"/>
          <w:szCs w:val="24"/>
        </w:rPr>
        <w:t>,</w:t>
      </w:r>
      <w:r w:rsidRPr="00840AC2">
        <w:rPr>
          <w:rFonts w:hAnsi="Arial Unicode MS" w:cs="Arial Unicode MS"/>
          <w:sz w:val="24"/>
          <w:szCs w:val="24"/>
        </w:rPr>
        <w:t xml:space="preserve"> http://arxiv.org/abs/1405.3515. </w:t>
      </w:r>
    </w:p>
    <w:p w:rsidR="004C6888" w:rsidRPr="00840AC2" w:rsidRDefault="004C6888" w:rsidP="0055456F">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sidRPr="0055456F">
        <w:rPr>
          <w:rFonts w:hAnsi="Arial Unicode MS" w:cs="Arial Unicode MS"/>
          <w:b/>
          <w:sz w:val="24"/>
          <w:szCs w:val="24"/>
        </w:rPr>
        <w:t>Klingenstein, S., Hitchcock, T. and DeDeo, S.</w:t>
      </w:r>
      <w:r>
        <w:rPr>
          <w:rFonts w:hAnsi="Arial Unicode MS" w:cs="Arial Unicode MS"/>
          <w:sz w:val="24"/>
          <w:szCs w:val="24"/>
        </w:rPr>
        <w:t xml:space="preserve"> (2014).</w:t>
      </w:r>
      <w:r w:rsidRPr="00840AC2">
        <w:rPr>
          <w:rFonts w:hAnsi="Arial Unicode MS" w:cs="Arial Unicode MS"/>
          <w:sz w:val="24"/>
          <w:szCs w:val="24"/>
        </w:rPr>
        <w:t xml:space="preserve"> The Civilizing Process in London</w:t>
      </w:r>
      <w:r w:rsidRPr="00840AC2">
        <w:rPr>
          <w:rFonts w:ascii="Arial Unicode MS" w:cs="Arial Unicode MS"/>
          <w:sz w:val="24"/>
          <w:szCs w:val="24"/>
        </w:rPr>
        <w:t>’</w:t>
      </w:r>
      <w:r w:rsidRPr="00840AC2">
        <w:rPr>
          <w:rFonts w:hAnsi="Arial Unicode MS" w:cs="Arial Unicode MS"/>
          <w:sz w:val="24"/>
          <w:szCs w:val="24"/>
        </w:rPr>
        <w:t>s Old Bailey</w:t>
      </w:r>
      <w:r>
        <w:rPr>
          <w:rFonts w:hAnsi="Arial Unicode MS" w:cs="Arial Unicode MS"/>
          <w:sz w:val="24"/>
          <w:szCs w:val="24"/>
        </w:rPr>
        <w:t>.</w:t>
      </w:r>
      <w:r w:rsidRPr="00840AC2">
        <w:rPr>
          <w:rFonts w:ascii="Arial Unicode MS" w:cs="Arial Unicode MS"/>
          <w:sz w:val="24"/>
          <w:szCs w:val="24"/>
        </w:rPr>
        <w:t xml:space="preserve"> </w:t>
      </w:r>
      <w:r w:rsidRPr="00840AC2">
        <w:rPr>
          <w:rFonts w:hAnsi="Arial Unicode MS" w:cs="Arial Unicode MS"/>
          <w:i/>
          <w:iCs/>
          <w:sz w:val="24"/>
          <w:szCs w:val="24"/>
        </w:rPr>
        <w:t>Proceedings of the National Academy of Sciences</w:t>
      </w:r>
      <w:r>
        <w:rPr>
          <w:rFonts w:hAnsi="Arial Unicode MS" w:cs="Arial Unicode MS"/>
          <w:i/>
          <w:iCs/>
          <w:sz w:val="24"/>
          <w:szCs w:val="24"/>
        </w:rPr>
        <w:t>,</w:t>
      </w:r>
      <w:r w:rsidRPr="00840AC2">
        <w:rPr>
          <w:rFonts w:hAnsi="Arial Unicode MS" w:cs="Arial Unicode MS"/>
          <w:sz w:val="24"/>
          <w:szCs w:val="24"/>
        </w:rPr>
        <w:t xml:space="preserve"> </w:t>
      </w:r>
      <w:r w:rsidRPr="0055456F">
        <w:rPr>
          <w:rFonts w:hAnsi="Arial Unicode MS" w:cs="Arial Unicode MS"/>
          <w:b/>
          <w:sz w:val="24"/>
          <w:szCs w:val="24"/>
        </w:rPr>
        <w:t>111</w:t>
      </w:r>
      <w:r>
        <w:rPr>
          <w:rFonts w:hAnsi="Arial Unicode MS" w:cs="Arial Unicode MS"/>
          <w:sz w:val="24"/>
          <w:szCs w:val="24"/>
        </w:rPr>
        <w:t>(</w:t>
      </w:r>
      <w:r w:rsidRPr="00840AC2">
        <w:rPr>
          <w:rFonts w:hAnsi="Arial Unicode MS" w:cs="Arial Unicode MS"/>
          <w:sz w:val="24"/>
          <w:szCs w:val="24"/>
        </w:rPr>
        <w:t>26</w:t>
      </w:r>
      <w:r>
        <w:rPr>
          <w:rFonts w:hAnsi="Arial Unicode MS" w:cs="Arial Unicode MS"/>
          <w:sz w:val="24"/>
          <w:szCs w:val="24"/>
        </w:rPr>
        <w:t>)</w:t>
      </w:r>
      <w:r w:rsidRPr="00840AC2">
        <w:rPr>
          <w:rFonts w:hAnsi="Arial Unicode MS" w:cs="Arial Unicode MS"/>
          <w:sz w:val="24"/>
          <w:szCs w:val="24"/>
        </w:rPr>
        <w:t xml:space="preserve"> (</w:t>
      </w:r>
      <w:r>
        <w:rPr>
          <w:rFonts w:hAnsi="Arial Unicode MS" w:cs="Arial Unicode MS"/>
          <w:sz w:val="24"/>
          <w:szCs w:val="24"/>
        </w:rPr>
        <w:t xml:space="preserve">1 </w:t>
      </w:r>
      <w:r w:rsidRPr="00840AC2">
        <w:rPr>
          <w:rFonts w:hAnsi="Arial Unicode MS" w:cs="Arial Unicode MS"/>
          <w:sz w:val="24"/>
          <w:szCs w:val="24"/>
        </w:rPr>
        <w:t>July): 9419</w:t>
      </w:r>
      <w:r w:rsidRPr="00840AC2">
        <w:rPr>
          <w:rFonts w:ascii="Arial Unicode MS" w:cs="Arial Unicode MS"/>
          <w:sz w:val="24"/>
          <w:szCs w:val="24"/>
        </w:rPr>
        <w:t>–</w:t>
      </w:r>
      <w:r w:rsidRPr="00840AC2">
        <w:rPr>
          <w:rFonts w:hAnsi="Arial Unicode MS" w:cs="Arial Unicode MS"/>
          <w:sz w:val="24"/>
          <w:szCs w:val="24"/>
        </w:rPr>
        <w:t>24, doi:10.1073/pnas.1405984111.</w:t>
      </w:r>
    </w:p>
    <w:p w:rsidR="004C6888" w:rsidRPr="001B4197"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sidRPr="001B4197">
        <w:rPr>
          <w:b/>
          <w:sz w:val="24"/>
          <w:szCs w:val="24"/>
        </w:rPr>
        <w:t>Mikolov, T., et al.</w:t>
      </w:r>
      <w:r w:rsidRPr="00840AC2">
        <w:rPr>
          <w:sz w:val="24"/>
          <w:szCs w:val="24"/>
        </w:rPr>
        <w:t xml:space="preserve"> </w:t>
      </w:r>
      <w:r>
        <w:rPr>
          <w:sz w:val="24"/>
          <w:szCs w:val="24"/>
        </w:rPr>
        <w:t xml:space="preserve">(2013). </w:t>
      </w:r>
      <w:r w:rsidRPr="00840AC2">
        <w:rPr>
          <w:sz w:val="24"/>
          <w:szCs w:val="24"/>
        </w:rPr>
        <w:t xml:space="preserve">Distributed </w:t>
      </w:r>
      <w:r>
        <w:rPr>
          <w:sz w:val="24"/>
          <w:szCs w:val="24"/>
        </w:rPr>
        <w:t>R</w:t>
      </w:r>
      <w:r w:rsidRPr="00840AC2">
        <w:rPr>
          <w:sz w:val="24"/>
          <w:szCs w:val="24"/>
        </w:rPr>
        <w:t xml:space="preserve">epresentations of </w:t>
      </w:r>
      <w:r>
        <w:rPr>
          <w:sz w:val="24"/>
          <w:szCs w:val="24"/>
        </w:rPr>
        <w:t>W</w:t>
      </w:r>
      <w:r w:rsidRPr="00840AC2">
        <w:rPr>
          <w:sz w:val="24"/>
          <w:szCs w:val="24"/>
        </w:rPr>
        <w:t xml:space="preserve">ords and </w:t>
      </w:r>
      <w:r>
        <w:rPr>
          <w:sz w:val="24"/>
          <w:szCs w:val="24"/>
        </w:rPr>
        <w:t>P</w:t>
      </w:r>
      <w:r w:rsidRPr="00840AC2">
        <w:rPr>
          <w:sz w:val="24"/>
          <w:szCs w:val="24"/>
        </w:rPr>
        <w:t xml:space="preserve">hrases and </w:t>
      </w:r>
      <w:r>
        <w:rPr>
          <w:sz w:val="24"/>
          <w:szCs w:val="24"/>
        </w:rPr>
        <w:t>T</w:t>
      </w:r>
      <w:r w:rsidRPr="00840AC2">
        <w:rPr>
          <w:sz w:val="24"/>
          <w:szCs w:val="24"/>
        </w:rPr>
        <w:t xml:space="preserve">heir </w:t>
      </w:r>
      <w:r>
        <w:rPr>
          <w:sz w:val="24"/>
          <w:szCs w:val="24"/>
        </w:rPr>
        <w:t>Compositionality.</w:t>
      </w:r>
      <w:r w:rsidRPr="00840AC2">
        <w:rPr>
          <w:sz w:val="24"/>
          <w:szCs w:val="24"/>
        </w:rPr>
        <w:t xml:space="preserve"> </w:t>
      </w:r>
      <w:r w:rsidRPr="00840AC2">
        <w:rPr>
          <w:i/>
          <w:iCs/>
          <w:sz w:val="24"/>
          <w:szCs w:val="24"/>
        </w:rPr>
        <w:t>Advances in Neural Information Processing Systems</w:t>
      </w:r>
      <w:r>
        <w:rPr>
          <w:sz w:val="24"/>
          <w:szCs w:val="24"/>
        </w:rPr>
        <w:t xml:space="preserve">, </w:t>
      </w:r>
      <w:r w:rsidRPr="001B4197">
        <w:rPr>
          <w:sz w:val="24"/>
          <w:szCs w:val="24"/>
        </w:rPr>
        <w:t>http://papers.nips.cc/paper/5021-distributed-representations-of-words-and-phrases-and-their-compositionality.pdf</w:t>
      </w:r>
      <w:r>
        <w:rPr>
          <w:sz w:val="24"/>
          <w:szCs w:val="24"/>
        </w:rPr>
        <w:t>.</w:t>
      </w:r>
    </w:p>
    <w:p w:rsidR="004C6888" w:rsidRDefault="004C6888" w:rsidP="0055456F">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rFonts w:hAnsi="Arial Unicode MS" w:cs="Arial Unicode MS"/>
          <w:sz w:val="24"/>
          <w:szCs w:val="24"/>
        </w:rPr>
      </w:pPr>
      <w:r w:rsidRPr="0055456F">
        <w:rPr>
          <w:rFonts w:hAnsi="Arial Unicode MS" w:cs="Arial Unicode MS"/>
          <w:b/>
          <w:sz w:val="24"/>
          <w:szCs w:val="24"/>
        </w:rPr>
        <w:t>Mimno, D.</w:t>
      </w:r>
      <w:r>
        <w:rPr>
          <w:rFonts w:hAnsi="Arial Unicode MS" w:cs="Arial Unicode MS"/>
          <w:sz w:val="24"/>
          <w:szCs w:val="24"/>
        </w:rPr>
        <w:t xml:space="preserve"> (2012). </w:t>
      </w:r>
      <w:r w:rsidRPr="00840AC2">
        <w:rPr>
          <w:rFonts w:hAnsi="Arial Unicode MS" w:cs="Arial Unicode MS"/>
          <w:sz w:val="24"/>
          <w:szCs w:val="24"/>
        </w:rPr>
        <w:t>Computational Historiography: Data Mining in a Century of Classics Journals</w:t>
      </w:r>
      <w:r>
        <w:rPr>
          <w:rFonts w:hAnsi="Arial Unicode MS" w:cs="Arial Unicode MS"/>
          <w:sz w:val="24"/>
          <w:szCs w:val="24"/>
        </w:rPr>
        <w:t>.</w:t>
      </w:r>
      <w:r w:rsidRPr="00840AC2">
        <w:rPr>
          <w:rFonts w:ascii="Arial Unicode MS" w:cs="Arial Unicode MS"/>
          <w:sz w:val="24"/>
          <w:szCs w:val="24"/>
        </w:rPr>
        <w:t xml:space="preserve"> </w:t>
      </w:r>
      <w:r>
        <w:rPr>
          <w:rFonts w:hAnsi="Arial Unicode MS" w:cs="Arial Unicode MS"/>
          <w:i/>
          <w:iCs/>
          <w:sz w:val="24"/>
          <w:szCs w:val="24"/>
        </w:rPr>
        <w:t>Journal on Computing and Cultural Heritage,</w:t>
      </w:r>
      <w:r w:rsidRPr="00840AC2">
        <w:rPr>
          <w:rFonts w:hAnsi="Arial Unicode MS" w:cs="Arial Unicode MS"/>
          <w:i/>
          <w:iCs/>
          <w:sz w:val="24"/>
          <w:szCs w:val="24"/>
        </w:rPr>
        <w:t>.</w:t>
      </w:r>
      <w:r w:rsidRPr="00840AC2">
        <w:rPr>
          <w:rFonts w:hAnsi="Arial Unicode MS" w:cs="Arial Unicode MS"/>
          <w:sz w:val="24"/>
          <w:szCs w:val="24"/>
        </w:rPr>
        <w:t xml:space="preserve"> </w:t>
      </w:r>
      <w:r w:rsidRPr="0055456F">
        <w:rPr>
          <w:rFonts w:hAnsi="Arial Unicode MS" w:cs="Arial Unicode MS"/>
          <w:b/>
          <w:sz w:val="24"/>
          <w:szCs w:val="24"/>
        </w:rPr>
        <w:t>5</w:t>
      </w:r>
      <w:r>
        <w:rPr>
          <w:rFonts w:hAnsi="Arial Unicode MS" w:cs="Arial Unicode MS"/>
          <w:sz w:val="24"/>
          <w:szCs w:val="24"/>
        </w:rPr>
        <w:t>(</w:t>
      </w:r>
      <w:r w:rsidRPr="00840AC2">
        <w:rPr>
          <w:rFonts w:hAnsi="Arial Unicode MS" w:cs="Arial Unicode MS"/>
          <w:sz w:val="24"/>
          <w:szCs w:val="24"/>
        </w:rPr>
        <w:t>1</w:t>
      </w:r>
      <w:r>
        <w:rPr>
          <w:rFonts w:hAnsi="Arial Unicode MS" w:cs="Arial Unicode MS"/>
          <w:sz w:val="24"/>
          <w:szCs w:val="24"/>
        </w:rPr>
        <w:t>)</w:t>
      </w:r>
      <w:r w:rsidRPr="00840AC2">
        <w:rPr>
          <w:rFonts w:hAnsi="Arial Unicode MS" w:cs="Arial Unicode MS"/>
          <w:sz w:val="24"/>
          <w:szCs w:val="24"/>
        </w:rPr>
        <w:t xml:space="preserve"> (April): 3:1</w:t>
      </w:r>
      <w:r w:rsidRPr="00840AC2">
        <w:rPr>
          <w:rFonts w:ascii="Arial Unicode MS" w:cs="Arial Unicode MS"/>
          <w:sz w:val="24"/>
          <w:szCs w:val="24"/>
        </w:rPr>
        <w:t>–</w:t>
      </w:r>
      <w:r w:rsidRPr="00840AC2">
        <w:rPr>
          <w:rFonts w:hAnsi="Arial Unicode MS" w:cs="Arial Unicode MS"/>
          <w:sz w:val="24"/>
          <w:szCs w:val="24"/>
        </w:rPr>
        <w:t>3:19</w:t>
      </w:r>
      <w:r>
        <w:rPr>
          <w:rFonts w:hAnsi="Arial Unicode MS" w:cs="Arial Unicode MS"/>
          <w:sz w:val="24"/>
          <w:szCs w:val="24"/>
        </w:rPr>
        <w:t>.</w:t>
      </w:r>
    </w:p>
    <w:p w:rsidR="004C6888" w:rsidRDefault="004C6888" w:rsidP="0055456F">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rFonts w:hAnsi="Arial Unicode MS" w:cs="Arial Unicode MS"/>
          <w:sz w:val="24"/>
          <w:szCs w:val="24"/>
        </w:rPr>
      </w:pPr>
      <w:r w:rsidRPr="0055456F">
        <w:rPr>
          <w:rFonts w:hAnsi="Arial Unicode MS" w:cs="Arial Unicode MS"/>
          <w:b/>
          <w:sz w:val="24"/>
          <w:szCs w:val="24"/>
        </w:rPr>
        <w:t>Newman, D. J. and Block, S.</w:t>
      </w:r>
      <w:r>
        <w:rPr>
          <w:rFonts w:hAnsi="Arial Unicode MS" w:cs="Arial Unicode MS"/>
          <w:sz w:val="24"/>
          <w:szCs w:val="24"/>
        </w:rPr>
        <w:t xml:space="preserve"> (2006). </w:t>
      </w:r>
      <w:r w:rsidRPr="00840AC2">
        <w:rPr>
          <w:rFonts w:hAnsi="Arial Unicode MS" w:cs="Arial Unicode MS"/>
          <w:sz w:val="24"/>
          <w:szCs w:val="24"/>
        </w:rPr>
        <w:t>Probabilistic Topic Decomposition of an Eighteenth-Century American Newspaper</w:t>
      </w:r>
      <w:r>
        <w:rPr>
          <w:rFonts w:hAnsi="Arial Unicode MS" w:cs="Arial Unicode MS"/>
          <w:sz w:val="24"/>
          <w:szCs w:val="24"/>
        </w:rPr>
        <w:t>.</w:t>
      </w:r>
      <w:r w:rsidRPr="00840AC2">
        <w:rPr>
          <w:rFonts w:ascii="Arial Unicode MS" w:cs="Arial Unicode MS"/>
          <w:sz w:val="24"/>
          <w:szCs w:val="24"/>
        </w:rPr>
        <w:t xml:space="preserve"> </w:t>
      </w:r>
      <w:r w:rsidRPr="00840AC2">
        <w:rPr>
          <w:rFonts w:hAnsi="Arial Unicode MS" w:cs="Arial Unicode MS"/>
          <w:i/>
          <w:iCs/>
          <w:sz w:val="24"/>
          <w:szCs w:val="24"/>
        </w:rPr>
        <w:t>Journal of the American Society for Information Science and Technology</w:t>
      </w:r>
      <w:r>
        <w:rPr>
          <w:rFonts w:hAnsi="Arial Unicode MS" w:cs="Arial Unicode MS"/>
          <w:i/>
          <w:iCs/>
          <w:sz w:val="24"/>
          <w:szCs w:val="24"/>
        </w:rPr>
        <w:t>,</w:t>
      </w:r>
      <w:r w:rsidRPr="00840AC2">
        <w:rPr>
          <w:rFonts w:hAnsi="Arial Unicode MS" w:cs="Arial Unicode MS"/>
          <w:sz w:val="24"/>
          <w:szCs w:val="24"/>
        </w:rPr>
        <w:t xml:space="preserve"> </w:t>
      </w:r>
      <w:r w:rsidRPr="0055456F">
        <w:rPr>
          <w:rFonts w:hAnsi="Arial Unicode MS" w:cs="Arial Unicode MS"/>
          <w:b/>
          <w:sz w:val="24"/>
          <w:szCs w:val="24"/>
        </w:rPr>
        <w:t>57</w:t>
      </w:r>
      <w:r>
        <w:rPr>
          <w:rFonts w:hAnsi="Arial Unicode MS" w:cs="Arial Unicode MS"/>
          <w:sz w:val="24"/>
          <w:szCs w:val="24"/>
        </w:rPr>
        <w:t>(</w:t>
      </w:r>
      <w:r w:rsidRPr="00840AC2">
        <w:rPr>
          <w:rFonts w:hAnsi="Arial Unicode MS" w:cs="Arial Unicode MS"/>
          <w:sz w:val="24"/>
          <w:szCs w:val="24"/>
        </w:rPr>
        <w:t>6</w:t>
      </w:r>
      <w:r>
        <w:rPr>
          <w:rFonts w:hAnsi="Arial Unicode MS" w:cs="Arial Unicode MS"/>
          <w:sz w:val="24"/>
          <w:szCs w:val="24"/>
        </w:rPr>
        <w:t>)</w:t>
      </w:r>
      <w:r w:rsidRPr="00840AC2">
        <w:rPr>
          <w:rFonts w:hAnsi="Arial Unicode MS" w:cs="Arial Unicode MS"/>
          <w:sz w:val="24"/>
          <w:szCs w:val="24"/>
        </w:rPr>
        <w:t>: 753</w:t>
      </w:r>
      <w:r w:rsidRPr="00840AC2">
        <w:rPr>
          <w:rFonts w:ascii="Arial Unicode MS" w:cs="Arial Unicode MS"/>
          <w:sz w:val="24"/>
          <w:szCs w:val="24"/>
        </w:rPr>
        <w:t>–</w:t>
      </w:r>
      <w:r w:rsidRPr="00840AC2">
        <w:rPr>
          <w:rFonts w:hAnsi="Arial Unicode MS" w:cs="Arial Unicode MS"/>
          <w:sz w:val="24"/>
          <w:szCs w:val="24"/>
        </w:rPr>
        <w:t>67</w:t>
      </w:r>
      <w:r>
        <w:rPr>
          <w:rFonts w:hAnsi="Arial Unicode MS" w:cs="Arial Unicode MS"/>
          <w:sz w:val="24"/>
          <w:szCs w:val="24"/>
        </w:rPr>
        <w:t>.</w:t>
      </w:r>
    </w:p>
    <w:p w:rsidR="004C6888" w:rsidRPr="00840AC2"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sidRPr="001B4197">
        <w:rPr>
          <w:rFonts w:hAnsi="Arial Unicode MS" w:cs="Arial Unicode MS"/>
          <w:b/>
          <w:sz w:val="24"/>
          <w:szCs w:val="24"/>
        </w:rPr>
        <w:t>Snickars, P.</w:t>
      </w:r>
      <w:r>
        <w:rPr>
          <w:rFonts w:hAnsi="Arial Unicode MS" w:cs="Arial Unicode MS"/>
          <w:sz w:val="24"/>
          <w:szCs w:val="24"/>
        </w:rPr>
        <w:t xml:space="preserve"> (2012). </w:t>
      </w:r>
      <w:r w:rsidRPr="00840AC2">
        <w:rPr>
          <w:rFonts w:hAnsi="Arial Unicode MS" w:cs="Arial Unicode MS"/>
          <w:sz w:val="24"/>
          <w:szCs w:val="24"/>
        </w:rPr>
        <w:t>If Content Is King, Context Is Its Crown</w:t>
      </w:r>
      <w:r>
        <w:rPr>
          <w:rFonts w:hAnsi="Arial Unicode MS" w:cs="Arial Unicode MS"/>
          <w:sz w:val="24"/>
          <w:szCs w:val="24"/>
        </w:rPr>
        <w:t>.</w:t>
      </w:r>
      <w:r w:rsidRPr="00840AC2">
        <w:rPr>
          <w:rFonts w:ascii="Arial Unicode MS" w:cs="Arial Unicode MS"/>
          <w:sz w:val="24"/>
          <w:szCs w:val="24"/>
        </w:rPr>
        <w:t xml:space="preserve"> </w:t>
      </w:r>
      <w:r w:rsidRPr="00840AC2">
        <w:rPr>
          <w:rFonts w:hAnsi="Arial Unicode MS" w:cs="Arial Unicode MS"/>
          <w:i/>
          <w:iCs/>
          <w:sz w:val="24"/>
          <w:szCs w:val="24"/>
        </w:rPr>
        <w:t>VIEW Journal of European Television History and Culture</w:t>
      </w:r>
      <w:r>
        <w:rPr>
          <w:rFonts w:hAnsi="Arial Unicode MS" w:cs="Arial Unicode MS"/>
          <w:i/>
          <w:iCs/>
          <w:sz w:val="24"/>
          <w:szCs w:val="24"/>
        </w:rPr>
        <w:t>,</w:t>
      </w:r>
      <w:r w:rsidRPr="00840AC2">
        <w:rPr>
          <w:rFonts w:hAnsi="Arial Unicode MS" w:cs="Arial Unicode MS"/>
          <w:sz w:val="24"/>
          <w:szCs w:val="24"/>
        </w:rPr>
        <w:t xml:space="preserve"> </w:t>
      </w:r>
      <w:r w:rsidRPr="001B4197">
        <w:rPr>
          <w:rFonts w:hAnsi="Arial Unicode MS" w:cs="Arial Unicode MS"/>
          <w:b/>
          <w:sz w:val="24"/>
          <w:szCs w:val="24"/>
        </w:rPr>
        <w:t>1</w:t>
      </w:r>
      <w:r>
        <w:rPr>
          <w:rFonts w:hAnsi="Arial Unicode MS" w:cs="Arial Unicode MS"/>
          <w:sz w:val="24"/>
          <w:szCs w:val="24"/>
        </w:rPr>
        <w:t>(</w:t>
      </w:r>
      <w:r w:rsidRPr="00840AC2">
        <w:rPr>
          <w:rFonts w:hAnsi="Arial Unicode MS" w:cs="Arial Unicode MS"/>
          <w:sz w:val="24"/>
          <w:szCs w:val="24"/>
        </w:rPr>
        <w:t>1</w:t>
      </w:r>
      <w:r>
        <w:rPr>
          <w:rFonts w:hAnsi="Arial Unicode MS" w:cs="Arial Unicode MS"/>
          <w:sz w:val="24"/>
          <w:szCs w:val="24"/>
        </w:rPr>
        <w:t>)</w:t>
      </w:r>
      <w:r w:rsidRPr="00840AC2">
        <w:rPr>
          <w:rFonts w:hAnsi="Arial Unicode MS" w:cs="Arial Unicode MS"/>
          <w:sz w:val="24"/>
          <w:szCs w:val="24"/>
        </w:rPr>
        <w:t xml:space="preserve"> (</w:t>
      </w:r>
      <w:r>
        <w:rPr>
          <w:rFonts w:hAnsi="Arial Unicode MS" w:cs="Arial Unicode MS"/>
          <w:sz w:val="24"/>
          <w:szCs w:val="24"/>
        </w:rPr>
        <w:t xml:space="preserve">21 </w:t>
      </w:r>
      <w:r w:rsidRPr="00840AC2">
        <w:rPr>
          <w:rFonts w:hAnsi="Arial Unicode MS" w:cs="Arial Unicode MS"/>
          <w:sz w:val="24"/>
          <w:szCs w:val="24"/>
        </w:rPr>
        <w:t>February 21): 34</w:t>
      </w:r>
      <w:r w:rsidRPr="00840AC2">
        <w:rPr>
          <w:rFonts w:ascii="Arial Unicode MS" w:cs="Arial Unicode MS"/>
          <w:sz w:val="24"/>
          <w:szCs w:val="24"/>
        </w:rPr>
        <w:t>–</w:t>
      </w:r>
      <w:r w:rsidRPr="00840AC2">
        <w:rPr>
          <w:rFonts w:hAnsi="Arial Unicode MS" w:cs="Arial Unicode MS"/>
          <w:sz w:val="24"/>
          <w:szCs w:val="24"/>
        </w:rPr>
        <w:t>39.</w:t>
      </w:r>
    </w:p>
    <w:p w:rsidR="004C6888" w:rsidRPr="00840AC2"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sidRPr="001B4197">
        <w:rPr>
          <w:rFonts w:hAnsi="Arial Unicode MS" w:cs="Arial Unicode MS"/>
          <w:b/>
          <w:sz w:val="24"/>
          <w:szCs w:val="24"/>
        </w:rPr>
        <w:t>van Eijnatten, J., Pieters, T. and Verheul, J.</w:t>
      </w:r>
      <w:r>
        <w:rPr>
          <w:rFonts w:hAnsi="Arial Unicode MS" w:cs="Arial Unicode MS"/>
          <w:sz w:val="24"/>
          <w:szCs w:val="24"/>
        </w:rPr>
        <w:t xml:space="preserve"> (2013). </w:t>
      </w:r>
      <w:r w:rsidRPr="00840AC2">
        <w:rPr>
          <w:rFonts w:hAnsi="Arial Unicode MS" w:cs="Arial Unicode MS"/>
          <w:sz w:val="24"/>
          <w:szCs w:val="24"/>
        </w:rPr>
        <w:t>Big Data for Global History: The Transformative Promise of Digital Humanities</w:t>
      </w:r>
      <w:r>
        <w:rPr>
          <w:rFonts w:hAnsi="Arial Unicode MS" w:cs="Arial Unicode MS"/>
          <w:sz w:val="24"/>
          <w:szCs w:val="24"/>
        </w:rPr>
        <w:t>.</w:t>
      </w:r>
      <w:r w:rsidRPr="00840AC2">
        <w:rPr>
          <w:rFonts w:ascii="Arial Unicode MS" w:cs="Arial Unicode MS"/>
          <w:sz w:val="24"/>
          <w:szCs w:val="24"/>
        </w:rPr>
        <w:t xml:space="preserve"> </w:t>
      </w:r>
      <w:r>
        <w:rPr>
          <w:rFonts w:hAnsi="Arial Unicode MS" w:cs="Arial Unicode MS"/>
          <w:i/>
          <w:iCs/>
          <w:sz w:val="24"/>
          <w:szCs w:val="24"/>
        </w:rPr>
        <w:t>BMGN</w:t>
      </w:r>
      <w:r>
        <w:rPr>
          <w:rFonts w:hAnsi="Arial Unicode MS" w:cs="Arial Unicode MS"/>
          <w:i/>
          <w:iCs/>
          <w:sz w:val="24"/>
          <w:szCs w:val="24"/>
        </w:rPr>
        <w:t>—</w:t>
      </w:r>
      <w:r w:rsidRPr="00840AC2">
        <w:rPr>
          <w:rFonts w:hAnsi="Arial Unicode MS" w:cs="Arial Unicode MS"/>
          <w:i/>
          <w:iCs/>
          <w:sz w:val="24"/>
          <w:szCs w:val="24"/>
        </w:rPr>
        <w:t>Low Countries Historical Review</w:t>
      </w:r>
      <w:r>
        <w:rPr>
          <w:rFonts w:hAnsi="Arial Unicode MS" w:cs="Arial Unicode MS"/>
          <w:i/>
          <w:iCs/>
          <w:sz w:val="24"/>
          <w:szCs w:val="24"/>
        </w:rPr>
        <w:t>,</w:t>
      </w:r>
      <w:r w:rsidRPr="00840AC2">
        <w:rPr>
          <w:rFonts w:hAnsi="Arial Unicode MS" w:cs="Arial Unicode MS"/>
          <w:sz w:val="24"/>
          <w:szCs w:val="24"/>
        </w:rPr>
        <w:t xml:space="preserve"> </w:t>
      </w:r>
      <w:r w:rsidRPr="001B4197">
        <w:rPr>
          <w:rFonts w:hAnsi="Arial Unicode MS" w:cs="Arial Unicode MS"/>
          <w:b/>
          <w:sz w:val="24"/>
          <w:szCs w:val="24"/>
        </w:rPr>
        <w:t>128</w:t>
      </w:r>
      <w:r>
        <w:rPr>
          <w:rFonts w:hAnsi="Arial Unicode MS" w:cs="Arial Unicode MS"/>
          <w:sz w:val="24"/>
          <w:szCs w:val="24"/>
        </w:rPr>
        <w:t>(</w:t>
      </w:r>
      <w:r w:rsidRPr="00840AC2">
        <w:rPr>
          <w:rFonts w:hAnsi="Arial Unicode MS" w:cs="Arial Unicode MS"/>
          <w:sz w:val="24"/>
          <w:szCs w:val="24"/>
        </w:rPr>
        <w:t>4</w:t>
      </w:r>
      <w:r>
        <w:rPr>
          <w:rFonts w:hAnsi="Arial Unicode MS" w:cs="Arial Unicode MS"/>
          <w:sz w:val="24"/>
          <w:szCs w:val="24"/>
        </w:rPr>
        <w:t>)</w:t>
      </w:r>
      <w:r w:rsidRPr="00840AC2">
        <w:rPr>
          <w:rFonts w:hAnsi="Arial Unicode MS" w:cs="Arial Unicode MS"/>
          <w:sz w:val="24"/>
          <w:szCs w:val="24"/>
        </w:rPr>
        <w:t xml:space="preserve"> (</w:t>
      </w:r>
      <w:r>
        <w:rPr>
          <w:rFonts w:hAnsi="Arial Unicode MS" w:cs="Arial Unicode MS"/>
          <w:sz w:val="24"/>
          <w:szCs w:val="24"/>
        </w:rPr>
        <w:t xml:space="preserve">16 </w:t>
      </w:r>
      <w:r w:rsidRPr="00840AC2">
        <w:rPr>
          <w:rFonts w:hAnsi="Arial Unicode MS" w:cs="Arial Unicode MS"/>
          <w:sz w:val="24"/>
          <w:szCs w:val="24"/>
        </w:rPr>
        <w:t>December): 55</w:t>
      </w:r>
      <w:r w:rsidRPr="00840AC2">
        <w:rPr>
          <w:rFonts w:ascii="Arial Unicode MS" w:cs="Arial Unicode MS"/>
          <w:sz w:val="24"/>
          <w:szCs w:val="24"/>
        </w:rPr>
        <w:t>–</w:t>
      </w:r>
      <w:r w:rsidRPr="00840AC2">
        <w:rPr>
          <w:rFonts w:hAnsi="Arial Unicode MS" w:cs="Arial Unicode MS"/>
          <w:sz w:val="24"/>
          <w:szCs w:val="24"/>
        </w:rPr>
        <w:t>77.</w:t>
      </w:r>
    </w:p>
    <w:p w:rsidR="004C6888" w:rsidRPr="00F72F14" w:rsidRDefault="004C6888" w:rsidP="00F72F14">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sidRPr="00F72F14">
        <w:rPr>
          <w:rFonts w:hAnsi="Arial Unicode MS" w:cs="Arial Unicode MS"/>
          <w:b/>
          <w:sz w:val="24"/>
          <w:szCs w:val="24"/>
        </w:rPr>
        <w:t>van Hooland, S., et al.</w:t>
      </w:r>
      <w:r>
        <w:rPr>
          <w:rFonts w:hAnsi="Arial Unicode MS" w:cs="Arial Unicode MS"/>
          <w:sz w:val="24"/>
          <w:szCs w:val="24"/>
        </w:rPr>
        <w:t xml:space="preserve"> (2013).</w:t>
      </w:r>
      <w:r w:rsidRPr="00F72F14">
        <w:rPr>
          <w:rFonts w:hAnsi="Arial Unicode MS" w:cs="Arial Unicode MS"/>
          <w:sz w:val="24"/>
          <w:szCs w:val="24"/>
        </w:rPr>
        <w:t xml:space="preserve"> Exploring Entity Recognition and Disambiguation for Cultural Heritage Collections</w:t>
      </w:r>
      <w:r>
        <w:rPr>
          <w:rFonts w:hAnsi="Arial Unicode MS" w:cs="Arial Unicode MS"/>
          <w:sz w:val="24"/>
          <w:szCs w:val="24"/>
        </w:rPr>
        <w:t xml:space="preserve">. </w:t>
      </w:r>
      <w:r w:rsidRPr="00F72F14">
        <w:rPr>
          <w:rFonts w:hAnsi="Arial Unicode MS" w:cs="Arial Unicode MS"/>
          <w:i/>
          <w:iCs/>
          <w:sz w:val="24"/>
          <w:szCs w:val="24"/>
        </w:rPr>
        <w:t>Literary and Linguistic Computing</w:t>
      </w:r>
      <w:r>
        <w:rPr>
          <w:rFonts w:hAnsi="Arial Unicode MS" w:cs="Arial Unicode MS"/>
          <w:i/>
          <w:iCs/>
          <w:sz w:val="24"/>
          <w:szCs w:val="24"/>
        </w:rPr>
        <w:t xml:space="preserve">, </w:t>
      </w:r>
      <w:r>
        <w:rPr>
          <w:rFonts w:hAnsi="Arial Unicode MS" w:cs="Arial Unicode MS"/>
          <w:iCs/>
          <w:sz w:val="24"/>
          <w:szCs w:val="24"/>
        </w:rPr>
        <w:t xml:space="preserve">29 November, </w:t>
      </w:r>
      <w:r w:rsidRPr="00F72F14">
        <w:rPr>
          <w:rFonts w:hAnsi="Arial Unicode MS" w:cs="Arial Unicode MS"/>
          <w:sz w:val="24"/>
          <w:szCs w:val="24"/>
        </w:rPr>
        <w:t>http://llc.oxfordjournals.org/content/early/2013/11/29/llc.fqt067.</w:t>
      </w:r>
    </w:p>
    <w:p w:rsidR="004C6888" w:rsidRPr="00F72F14"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lang w:val="it-IT"/>
        </w:rPr>
      </w:pPr>
      <w:r w:rsidRPr="001B4197">
        <w:rPr>
          <w:rFonts w:hAnsi="Arial Unicode MS" w:cs="Arial Unicode MS"/>
          <w:b/>
          <w:sz w:val="24"/>
          <w:szCs w:val="24"/>
        </w:rPr>
        <w:t>Wang, X. and McCallum, A.</w:t>
      </w:r>
      <w:r>
        <w:rPr>
          <w:rFonts w:hAnsi="Arial Unicode MS" w:cs="Arial Unicode MS"/>
          <w:sz w:val="24"/>
          <w:szCs w:val="24"/>
        </w:rPr>
        <w:t xml:space="preserve"> (2006). </w:t>
      </w:r>
      <w:r w:rsidRPr="00840AC2">
        <w:rPr>
          <w:rFonts w:hAnsi="Arial Unicode MS" w:cs="Arial Unicode MS"/>
          <w:sz w:val="24"/>
          <w:szCs w:val="24"/>
        </w:rPr>
        <w:t>Topics over Time: A Non-Markov Continuous-Time Model of Topical Trends</w:t>
      </w:r>
      <w:r>
        <w:rPr>
          <w:rFonts w:hAnsi="Arial Unicode MS" w:cs="Arial Unicode MS"/>
          <w:sz w:val="24"/>
          <w:szCs w:val="24"/>
        </w:rPr>
        <w:t>. I</w:t>
      </w:r>
      <w:r w:rsidRPr="00840AC2">
        <w:rPr>
          <w:rFonts w:hAnsi="Arial Unicode MS" w:cs="Arial Unicode MS"/>
          <w:sz w:val="24"/>
          <w:szCs w:val="24"/>
        </w:rPr>
        <w:t xml:space="preserve">n </w:t>
      </w:r>
      <w:r w:rsidRPr="00840AC2">
        <w:rPr>
          <w:rFonts w:hAnsi="Arial Unicode MS" w:cs="Arial Unicode MS"/>
          <w:i/>
          <w:iCs/>
          <w:sz w:val="24"/>
          <w:szCs w:val="24"/>
        </w:rPr>
        <w:t>Proceedings of the 12th ACM SIGKDD International Conference on Knowledge Discovery and Data Mining</w:t>
      </w:r>
      <w:r>
        <w:rPr>
          <w:rFonts w:hAnsi="Arial Unicode MS" w:cs="Arial Unicode MS"/>
          <w:sz w:val="24"/>
          <w:szCs w:val="24"/>
        </w:rPr>
        <w:t xml:space="preserve">. </w:t>
      </w:r>
      <w:r w:rsidRPr="00F72F14">
        <w:rPr>
          <w:rFonts w:hAnsi="Arial Unicode MS" w:cs="Arial Unicode MS"/>
          <w:sz w:val="24"/>
          <w:szCs w:val="24"/>
          <w:lang w:val="it-IT"/>
        </w:rPr>
        <w:t>ACM, pp. 424</w:t>
      </w:r>
      <w:r w:rsidRPr="00F72F14">
        <w:rPr>
          <w:rFonts w:ascii="Arial Unicode MS" w:cs="Arial Unicode MS"/>
          <w:sz w:val="24"/>
          <w:szCs w:val="24"/>
          <w:lang w:val="it-IT"/>
        </w:rPr>
        <w:t>–</w:t>
      </w:r>
      <w:r w:rsidRPr="00F72F14">
        <w:rPr>
          <w:rFonts w:hAnsi="Arial Unicode MS" w:cs="Arial Unicode MS"/>
          <w:sz w:val="24"/>
          <w:szCs w:val="24"/>
          <w:lang w:val="it-IT"/>
        </w:rPr>
        <w:t>33, http://dl.acm.org.proxy.library.uu.nl/citation.cfm?id=1150450.</w:t>
      </w:r>
    </w:p>
    <w:p w:rsidR="004C6888" w:rsidRPr="00840AC2"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sidRPr="00F72F14">
        <w:rPr>
          <w:rFonts w:hAnsi="Arial Unicode MS" w:cs="Arial Unicode MS"/>
          <w:b/>
          <w:sz w:val="24"/>
          <w:szCs w:val="24"/>
          <w:lang w:val="it-IT"/>
        </w:rPr>
        <w:t>Wiedemann, G., Niekler, N., et al.</w:t>
      </w:r>
      <w:r w:rsidRPr="00F72F14">
        <w:rPr>
          <w:rFonts w:hAnsi="Arial Unicode MS" w:cs="Arial Unicode MS"/>
          <w:sz w:val="24"/>
          <w:szCs w:val="24"/>
          <w:lang w:val="it-IT"/>
        </w:rPr>
        <w:t xml:space="preserve"> </w:t>
      </w:r>
      <w:r>
        <w:rPr>
          <w:rFonts w:hAnsi="Arial Unicode MS" w:cs="Arial Unicode MS"/>
          <w:sz w:val="24"/>
          <w:szCs w:val="24"/>
        </w:rPr>
        <w:t>(2014). Document Retrieval for Large-</w:t>
      </w:r>
      <w:r w:rsidRPr="00840AC2">
        <w:rPr>
          <w:rFonts w:hAnsi="Arial Unicode MS" w:cs="Arial Unicode MS"/>
          <w:sz w:val="24"/>
          <w:szCs w:val="24"/>
        </w:rPr>
        <w:t>Scale Content Analysis Using Contextualized Dictionaries</w:t>
      </w:r>
      <w:r>
        <w:rPr>
          <w:rFonts w:hAnsi="Arial Unicode MS" w:cs="Arial Unicode MS"/>
          <w:sz w:val="24"/>
          <w:szCs w:val="24"/>
        </w:rPr>
        <w:t>.</w:t>
      </w:r>
      <w:r w:rsidRPr="00840AC2">
        <w:rPr>
          <w:rFonts w:ascii="Arial Unicode MS" w:cs="Arial Unicode MS"/>
          <w:sz w:val="24"/>
          <w:szCs w:val="24"/>
        </w:rPr>
        <w:t xml:space="preserve"> </w:t>
      </w:r>
      <w:r>
        <w:rPr>
          <w:rFonts w:hAnsi="Arial Unicode MS" w:cs="Arial Unicode MS"/>
          <w:sz w:val="24"/>
          <w:szCs w:val="24"/>
        </w:rPr>
        <w:t>I</w:t>
      </w:r>
      <w:r w:rsidRPr="00840AC2">
        <w:rPr>
          <w:rFonts w:hAnsi="Arial Unicode MS" w:cs="Arial Unicode MS"/>
          <w:sz w:val="24"/>
          <w:szCs w:val="24"/>
        </w:rPr>
        <w:t xml:space="preserve">n </w:t>
      </w:r>
      <w:r w:rsidRPr="00840AC2">
        <w:rPr>
          <w:rFonts w:hAnsi="Arial Unicode MS" w:cs="Arial Unicode MS"/>
          <w:i/>
          <w:iCs/>
          <w:sz w:val="24"/>
          <w:szCs w:val="24"/>
        </w:rPr>
        <w:t>Terminology and Knowledge Engineering 2014</w:t>
      </w:r>
      <w:r w:rsidRPr="00840AC2">
        <w:rPr>
          <w:rFonts w:hAnsi="Arial Unicode MS" w:cs="Arial Unicode MS"/>
          <w:sz w:val="24"/>
          <w:szCs w:val="24"/>
        </w:rPr>
        <w:t>, http://hal.archives-ouvertes.fr/hal-01005879/.</w:t>
      </w:r>
    </w:p>
    <w:p w:rsidR="004C6888" w:rsidRPr="00840AC2" w:rsidRDefault="004C6888" w:rsidP="001B4197">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sz w:val="24"/>
          <w:szCs w:val="24"/>
        </w:rPr>
      </w:pPr>
      <w:r w:rsidRPr="001B4197">
        <w:rPr>
          <w:rFonts w:hAnsi="Arial Unicode MS" w:cs="Arial Unicode MS"/>
          <w:b/>
          <w:sz w:val="24"/>
          <w:szCs w:val="24"/>
        </w:rPr>
        <w:t>Wijaya, D. T. and Yeniterzi, R.</w:t>
      </w:r>
      <w:r>
        <w:rPr>
          <w:rFonts w:hAnsi="Arial Unicode MS" w:cs="Arial Unicode MS"/>
          <w:sz w:val="24"/>
          <w:szCs w:val="24"/>
        </w:rPr>
        <w:t xml:space="preserve"> (2011). </w:t>
      </w:r>
      <w:r w:rsidRPr="00840AC2">
        <w:rPr>
          <w:rFonts w:hAnsi="Arial Unicode MS" w:cs="Arial Unicode MS"/>
          <w:sz w:val="24"/>
          <w:szCs w:val="24"/>
        </w:rPr>
        <w:t>Understanding Semantic Change of Words over Centuries</w:t>
      </w:r>
      <w:r>
        <w:rPr>
          <w:rFonts w:hAnsi="Arial Unicode MS" w:cs="Arial Unicode MS"/>
          <w:sz w:val="24"/>
          <w:szCs w:val="24"/>
        </w:rPr>
        <w:t>. I</w:t>
      </w:r>
      <w:r w:rsidRPr="00840AC2">
        <w:rPr>
          <w:rFonts w:hAnsi="Arial Unicode MS" w:cs="Arial Unicode MS"/>
          <w:sz w:val="24"/>
          <w:szCs w:val="24"/>
        </w:rPr>
        <w:t xml:space="preserve">n </w:t>
      </w:r>
      <w:r w:rsidRPr="00840AC2">
        <w:rPr>
          <w:rFonts w:hAnsi="Arial Unicode MS" w:cs="Arial Unicode MS"/>
          <w:i/>
          <w:iCs/>
          <w:sz w:val="24"/>
          <w:szCs w:val="24"/>
        </w:rPr>
        <w:t xml:space="preserve">Proceedings of the 2011 International Workshop on DETecting and </w:t>
      </w:r>
      <w:r w:rsidRPr="00840AC2">
        <w:rPr>
          <w:rFonts w:hAnsi="Arial Unicode MS" w:cs="Arial Unicode MS"/>
          <w:i/>
          <w:iCs/>
          <w:sz w:val="24"/>
          <w:szCs w:val="24"/>
        </w:rPr>
        <w:lastRenderedPageBreak/>
        <w:t>Exploiting Cultural diversiTy on the Social Web</w:t>
      </w:r>
      <w:r>
        <w:rPr>
          <w:rFonts w:hAnsi="Arial Unicode MS" w:cs="Arial Unicode MS"/>
          <w:i/>
          <w:iCs/>
          <w:sz w:val="24"/>
          <w:szCs w:val="24"/>
        </w:rPr>
        <w:t>.</w:t>
      </w:r>
      <w:r w:rsidRPr="00840AC2">
        <w:rPr>
          <w:rFonts w:hAnsi="Arial Unicode MS" w:cs="Arial Unicode MS"/>
          <w:sz w:val="24"/>
          <w:szCs w:val="24"/>
        </w:rPr>
        <w:t xml:space="preserve"> ACM</w:t>
      </w:r>
      <w:r>
        <w:rPr>
          <w:rFonts w:hAnsi="Arial Unicode MS" w:cs="Arial Unicode MS"/>
          <w:sz w:val="24"/>
          <w:szCs w:val="24"/>
        </w:rPr>
        <w:t>:</w:t>
      </w:r>
      <w:r w:rsidRPr="00840AC2">
        <w:rPr>
          <w:rFonts w:hAnsi="Arial Unicode MS" w:cs="Arial Unicode MS"/>
          <w:sz w:val="24"/>
          <w:szCs w:val="24"/>
        </w:rPr>
        <w:t xml:space="preserve"> 35</w:t>
      </w:r>
      <w:r w:rsidRPr="00840AC2">
        <w:rPr>
          <w:rFonts w:ascii="Arial Unicode MS" w:cs="Arial Unicode MS"/>
          <w:sz w:val="24"/>
          <w:szCs w:val="24"/>
        </w:rPr>
        <w:t>–</w:t>
      </w:r>
      <w:r w:rsidRPr="00840AC2">
        <w:rPr>
          <w:rFonts w:hAnsi="Arial Unicode MS" w:cs="Arial Unicode MS"/>
          <w:sz w:val="24"/>
          <w:szCs w:val="24"/>
        </w:rPr>
        <w:t>40, http://dl.acm.org/citation.cfm?id=2064475.</w:t>
      </w:r>
    </w:p>
    <w:p w:rsidR="004C6888" w:rsidRPr="00F72F14" w:rsidRDefault="004C6888" w:rsidP="00F72F14">
      <w:pPr>
        <w:pStyle w:val="FootnoteText"/>
        <w:pBdr>
          <w:top w:val="none" w:sz="0" w:space="0" w:color="auto"/>
          <w:left w:val="none" w:sz="0" w:space="0" w:color="auto"/>
          <w:bottom w:val="none" w:sz="0" w:space="0" w:color="auto"/>
          <w:right w:val="none" w:sz="0" w:space="0" w:color="auto"/>
          <w:bar w:val="none" w:sz="0" w:color="auto"/>
        </w:pBdr>
        <w:spacing w:after="0" w:line="280" w:lineRule="exact"/>
        <w:ind w:firstLine="0"/>
        <w:rPr>
          <w:color w:val="auto"/>
          <w:sz w:val="24"/>
          <w:szCs w:val="24"/>
        </w:rPr>
      </w:pPr>
      <w:r w:rsidRPr="00F72F14">
        <w:rPr>
          <w:rFonts w:hAnsi="Arial Unicode MS" w:cs="Arial Unicode MS"/>
          <w:b/>
          <w:sz w:val="24"/>
          <w:szCs w:val="24"/>
        </w:rPr>
        <w:t>Wittek, P. and Ravenek, W.</w:t>
      </w:r>
      <w:r>
        <w:rPr>
          <w:rFonts w:hAnsi="Arial Unicode MS" w:cs="Arial Unicode MS"/>
          <w:sz w:val="24"/>
          <w:szCs w:val="24"/>
        </w:rPr>
        <w:t xml:space="preserve"> (2011). </w:t>
      </w:r>
      <w:r w:rsidRPr="00F72F14">
        <w:rPr>
          <w:rFonts w:hAnsi="Arial Unicode MS" w:cs="Arial Unicode MS"/>
          <w:sz w:val="24"/>
          <w:szCs w:val="24"/>
        </w:rPr>
        <w:t>Supporting the Exploration of a Corpus of 17th-Century Scholarly Correspondences by Topic Modeling</w:t>
      </w:r>
      <w:r w:rsidR="002B3F95">
        <w:rPr>
          <w:rFonts w:hAnsi="Arial Unicode MS" w:cs="Arial Unicode MS"/>
          <w:sz w:val="24"/>
          <w:szCs w:val="24"/>
        </w:rPr>
        <w:t>.</w:t>
      </w:r>
      <w:r>
        <w:rPr>
          <w:rFonts w:hAnsi="Arial Unicode MS" w:cs="Arial Unicode MS"/>
          <w:sz w:val="24"/>
          <w:szCs w:val="24"/>
        </w:rPr>
        <w:t xml:space="preserve"> </w:t>
      </w:r>
      <w:r w:rsidRPr="00F72F14">
        <w:rPr>
          <w:rFonts w:hAnsi="Arial Unicode MS" w:cs="Arial Unicode MS"/>
          <w:sz w:val="24"/>
          <w:szCs w:val="24"/>
        </w:rPr>
        <w:t xml:space="preserve"> </w:t>
      </w:r>
      <w:r w:rsidRPr="00F72F14">
        <w:rPr>
          <w:rStyle w:val="Hyperlink0"/>
          <w:rFonts w:hAnsi="Arial Unicode MS" w:cs="Arial Unicode MS"/>
          <w:color w:val="auto"/>
          <w:sz w:val="24"/>
          <w:szCs w:val="24"/>
          <w:u w:val="none"/>
        </w:rPr>
        <w:t>http://bada.hb.se/handle/2320/9689</w:t>
      </w:r>
      <w:r w:rsidRPr="00F72F14">
        <w:rPr>
          <w:rFonts w:hAnsi="Arial Unicode MS" w:cs="Arial Unicode MS"/>
          <w:color w:val="auto"/>
          <w:sz w:val="24"/>
          <w:szCs w:val="24"/>
        </w:rPr>
        <w:t>.</w:t>
      </w:r>
      <w:r w:rsidR="008466B0">
        <w:rPr>
          <w:rFonts w:hAnsi="Arial Unicode MS" w:cs="Arial Unicode MS"/>
          <w:color w:val="auto"/>
          <w:sz w:val="24"/>
          <w:szCs w:val="24"/>
        </w:rPr>
        <w:t xml:space="preserve"> </w:t>
      </w:r>
      <w:bookmarkStart w:id="0" w:name="_GoBack"/>
      <w:bookmarkEnd w:id="0"/>
    </w:p>
    <w:p w:rsidR="004C6888" w:rsidRPr="00F72F14" w:rsidRDefault="004C6888" w:rsidP="00F72F14">
      <w:pPr>
        <w:pStyle w:val="Normal1"/>
        <w:widowControl w:val="0"/>
        <w:pBdr>
          <w:top w:val="none" w:sz="0" w:space="0" w:color="auto"/>
          <w:left w:val="none" w:sz="0" w:space="0" w:color="auto"/>
          <w:bottom w:val="none" w:sz="0" w:space="0" w:color="auto"/>
          <w:right w:val="none" w:sz="0" w:space="0" w:color="auto"/>
          <w:bar w:val="none" w:sz="0" w:color="auto"/>
        </w:pBdr>
        <w:spacing w:after="0" w:line="320" w:lineRule="exact"/>
        <w:ind w:firstLine="0"/>
        <w:rPr>
          <w:rFonts w:ascii="Times New Roman" w:hAnsi="Times New Roman"/>
          <w:b/>
        </w:rPr>
      </w:pPr>
    </w:p>
    <w:sectPr w:rsidR="004C6888" w:rsidRPr="00F72F14" w:rsidSect="00A6205D">
      <w:headerReference w:type="default" r:id="rId6"/>
      <w:footerReference w:type="default" r:id="rId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837" w:rsidRDefault="00364837">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364837" w:rsidRDefault="00364837">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888" w:rsidRDefault="004C6888">
    <w:pPr>
      <w:pStyle w:val="HeaderFoote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837" w:rsidRDefault="00364837">
      <w:pPr>
        <w:pStyle w:val="Normal1"/>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364837" w:rsidRDefault="00364837">
      <w:pPr>
        <w:pStyle w:val="Normal1"/>
        <w:pBdr>
          <w:top w:val="none" w:sz="0" w:space="0" w:color="auto"/>
          <w:left w:val="none" w:sz="0" w:space="0" w:color="auto"/>
          <w:bottom w:val="none" w:sz="0" w:space="0" w:color="auto"/>
          <w:right w:val="none" w:sz="0" w:space="0" w:color="auto"/>
          <w:bar w:val="none" w:sz="0" w:color="auto"/>
        </w:pBdr>
      </w:pPr>
      <w:r>
        <w:continuationSeparator/>
      </w:r>
    </w:p>
  </w:footnote>
  <w:footnote w:type="continuationNotice" w:id="1">
    <w:p w:rsidR="00364837" w:rsidRDefault="00364837">
      <w:pPr>
        <w:pStyle w:val="Normal1"/>
        <w:pBdr>
          <w:top w:val="none" w:sz="0" w:space="0" w:color="auto"/>
          <w:left w:val="none" w:sz="0" w:space="0" w:color="auto"/>
          <w:bottom w:val="none" w:sz="0" w:space="0" w:color="auto"/>
          <w:right w:val="none" w:sz="0" w:space="0" w:color="auto"/>
          <w:bar w:val="none" w:sz="0" w:color="auto"/>
        </w:pBd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888" w:rsidRDefault="004C6888">
    <w:pPr>
      <w:pStyle w:val="Normal1"/>
      <w:pBdr>
        <w:top w:val="none" w:sz="0" w:space="0" w:color="auto"/>
        <w:left w:val="none" w:sz="0" w:space="0" w:color="auto"/>
        <w:bottom w:val="none" w:sz="0" w:space="0" w:color="auto"/>
        <w:right w:val="none" w:sz="0" w:space="0" w:color="auto"/>
        <w:bar w:val="none" w:sz="0" w:color="auto"/>
      </w:pBdr>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0D"/>
    <w:rsid w:val="00165DB1"/>
    <w:rsid w:val="001777BE"/>
    <w:rsid w:val="001B4197"/>
    <w:rsid w:val="00216EA4"/>
    <w:rsid w:val="002B3F95"/>
    <w:rsid w:val="00364837"/>
    <w:rsid w:val="003F3A16"/>
    <w:rsid w:val="004A2D8E"/>
    <w:rsid w:val="004C6888"/>
    <w:rsid w:val="0055456F"/>
    <w:rsid w:val="00840AC2"/>
    <w:rsid w:val="008466B0"/>
    <w:rsid w:val="00866240"/>
    <w:rsid w:val="00A6205D"/>
    <w:rsid w:val="00B1713F"/>
    <w:rsid w:val="00B410F6"/>
    <w:rsid w:val="00BD6648"/>
    <w:rsid w:val="00BE1AF4"/>
    <w:rsid w:val="00C6330D"/>
    <w:rsid w:val="00CE32D9"/>
    <w:rsid w:val="00E33889"/>
    <w:rsid w:val="00F72F1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14BFBE7-E943-4640-B0E6-B6636285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DB1"/>
    <w:pPr>
      <w:pBdr>
        <w:top w:val="none" w:sz="96" w:space="31" w:color="FFFFFF" w:frame="1"/>
        <w:left w:val="none" w:sz="96" w:space="31" w:color="FFFFFF" w:frame="1"/>
        <w:bottom w:val="none" w:sz="96" w:space="31" w:color="FFFFFF" w:frame="1"/>
        <w:right w:val="none" w:sz="96" w:space="31" w:color="FFFFFF" w:frame="1"/>
        <w:bar w:val="none" w:sz="0" w:color="000000"/>
      </w:pBdr>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165DB1"/>
    <w:pPr>
      <w:pBdr>
        <w:top w:val="none" w:sz="96" w:space="31" w:color="FFFFFF" w:frame="1"/>
        <w:left w:val="none" w:sz="96" w:space="31" w:color="FFFFFF" w:frame="1"/>
        <w:bottom w:val="none" w:sz="96" w:space="31" w:color="FFFFFF" w:frame="1"/>
        <w:right w:val="none" w:sz="96" w:space="31" w:color="FFFFFF" w:frame="1"/>
        <w:bar w:val="none" w:sz="0" w:color="000000"/>
      </w:pBdr>
      <w:spacing w:after="240" w:line="480" w:lineRule="auto"/>
      <w:ind w:firstLine="360"/>
    </w:pPr>
    <w:rPr>
      <w:rFonts w:ascii="Cambria" w:hAnsi="Cambria" w:cs="Cambria"/>
      <w:color w:val="000000"/>
      <w:sz w:val="24"/>
      <w:szCs w:val="24"/>
      <w:u w:color="000000"/>
    </w:rPr>
  </w:style>
  <w:style w:type="character" w:styleId="Hyperlink">
    <w:name w:val="Hyperlink"/>
    <w:basedOn w:val="DefaultParagraphFont"/>
    <w:uiPriority w:val="99"/>
    <w:rsid w:val="00165DB1"/>
    <w:rPr>
      <w:rFonts w:cs="Times New Roman"/>
      <w:u w:val="single"/>
    </w:rPr>
  </w:style>
  <w:style w:type="paragraph" w:customStyle="1" w:styleId="HeaderFooter">
    <w:name w:val="Header &amp; Footer"/>
    <w:uiPriority w:val="99"/>
    <w:rsid w:val="00165DB1"/>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w:hAnsi="Helvetica" w:cs="Helvetica"/>
      <w:color w:val="000000"/>
      <w:sz w:val="24"/>
      <w:szCs w:val="24"/>
    </w:rPr>
  </w:style>
  <w:style w:type="paragraph" w:styleId="Title">
    <w:name w:val="Title"/>
    <w:basedOn w:val="Normal"/>
    <w:next w:val="Body"/>
    <w:link w:val="TitleChar"/>
    <w:uiPriority w:val="99"/>
    <w:qFormat/>
    <w:rsid w:val="00165DB1"/>
    <w:pPr>
      <w:spacing w:after="240"/>
    </w:pPr>
    <w:rPr>
      <w:rFonts w:ascii="Calibri" w:hAnsi="Calibri" w:cs="Calibri"/>
      <w:b/>
      <w:bCs/>
      <w:i/>
      <w:iCs/>
      <w:color w:val="000000"/>
      <w:spacing w:val="10"/>
      <w:sz w:val="60"/>
      <w:szCs w:val="60"/>
      <w:u w:color="000000"/>
    </w:rPr>
  </w:style>
  <w:style w:type="character" w:customStyle="1" w:styleId="TitleChar">
    <w:name w:val="Title Char"/>
    <w:basedOn w:val="DefaultParagraphFont"/>
    <w:link w:val="Title"/>
    <w:uiPriority w:val="10"/>
    <w:rsid w:val="00B43346"/>
    <w:rPr>
      <w:rFonts w:asciiTheme="majorHAnsi" w:eastAsiaTheme="majorEastAsia" w:hAnsiTheme="majorHAnsi" w:cstheme="majorBidi"/>
      <w:b/>
      <w:bCs/>
      <w:kern w:val="28"/>
      <w:sz w:val="32"/>
      <w:szCs w:val="32"/>
    </w:rPr>
  </w:style>
  <w:style w:type="paragraph" w:customStyle="1" w:styleId="Body">
    <w:name w:val="Body"/>
    <w:uiPriority w:val="99"/>
    <w:rsid w:val="00165DB1"/>
    <w:pPr>
      <w:pBdr>
        <w:top w:val="none" w:sz="96" w:space="31" w:color="FFFFFF" w:frame="1"/>
        <w:left w:val="none" w:sz="96" w:space="31" w:color="FFFFFF" w:frame="1"/>
        <w:bottom w:val="none" w:sz="96" w:space="31" w:color="FFFFFF" w:frame="1"/>
        <w:right w:val="none" w:sz="96" w:space="31" w:color="FFFFFF" w:frame="1"/>
        <w:bar w:val="none" w:sz="0" w:color="000000"/>
      </w:pBdr>
      <w:spacing w:after="240" w:line="480" w:lineRule="auto"/>
      <w:ind w:firstLine="360"/>
    </w:pPr>
    <w:rPr>
      <w:rFonts w:hAnsi="Arial Unicode MS" w:cs="Arial Unicode MS"/>
      <w:color w:val="000000"/>
      <w:u w:color="000000"/>
    </w:rPr>
  </w:style>
  <w:style w:type="paragraph" w:customStyle="1" w:styleId="Footnote">
    <w:name w:val="Footnote"/>
    <w:uiPriority w:val="99"/>
    <w:rsid w:val="00165DB1"/>
    <w:pPr>
      <w:pBdr>
        <w:top w:val="none" w:sz="96" w:space="31" w:color="FFFFFF" w:frame="1"/>
        <w:left w:val="none" w:sz="96" w:space="31" w:color="FFFFFF" w:frame="1"/>
        <w:bottom w:val="none" w:sz="96" w:space="31" w:color="FFFFFF" w:frame="1"/>
        <w:right w:val="none" w:sz="96" w:space="31" w:color="FFFFFF" w:frame="1"/>
        <w:bar w:val="none" w:sz="0" w:color="000000"/>
      </w:pBdr>
      <w:spacing w:after="120"/>
      <w:ind w:firstLine="357"/>
    </w:pPr>
    <w:rPr>
      <w:rFonts w:ascii="Times" w:hAnsi="Times" w:cs="Times"/>
      <w:color w:val="000000"/>
      <w:sz w:val="18"/>
      <w:szCs w:val="18"/>
      <w:u w:color="000000"/>
    </w:rPr>
  </w:style>
  <w:style w:type="paragraph" w:styleId="FootnoteText">
    <w:name w:val="footnote text"/>
    <w:basedOn w:val="Normal"/>
    <w:link w:val="FootnoteTextChar"/>
    <w:uiPriority w:val="99"/>
    <w:rsid w:val="00165DB1"/>
    <w:pPr>
      <w:spacing w:after="120"/>
      <w:ind w:firstLine="357"/>
    </w:pPr>
    <w:rPr>
      <w:color w:val="000000"/>
      <w:sz w:val="18"/>
      <w:szCs w:val="18"/>
      <w:u w:color="000000"/>
    </w:rPr>
  </w:style>
  <w:style w:type="character" w:customStyle="1" w:styleId="FootnoteTextChar">
    <w:name w:val="Footnote Text Char"/>
    <w:basedOn w:val="DefaultParagraphFont"/>
    <w:link w:val="FootnoteText"/>
    <w:uiPriority w:val="99"/>
    <w:semiHidden/>
    <w:rsid w:val="00B43346"/>
    <w:rPr>
      <w:sz w:val="20"/>
      <w:szCs w:val="20"/>
    </w:rPr>
  </w:style>
  <w:style w:type="character" w:customStyle="1" w:styleId="Hyperlink0">
    <w:name w:val="Hyperlink.0"/>
    <w:basedOn w:val="Hyperlink"/>
    <w:uiPriority w:val="99"/>
    <w:rsid w:val="00165DB1"/>
    <w:rPr>
      <w:rFonts w:cs="Times New Roman"/>
      <w:color w:val="0000FF"/>
      <w:u w:val="single" w:color="0000FF"/>
    </w:rPr>
  </w:style>
  <w:style w:type="character" w:customStyle="1" w:styleId="Hyperlink1">
    <w:name w:val="Hyperlink.1"/>
    <w:basedOn w:val="Hyperlink0"/>
    <w:uiPriority w:val="99"/>
    <w:rsid w:val="00165DB1"/>
    <w:rPr>
      <w:rFonts w:cs="Times New Roman"/>
      <w:color w:val="0000FF"/>
      <w:u w:val="single" w:color="0000FF"/>
    </w:rPr>
  </w:style>
  <w:style w:type="paragraph" w:styleId="BalloonText">
    <w:name w:val="Balloon Text"/>
    <w:basedOn w:val="Normal"/>
    <w:link w:val="BalloonTextChar"/>
    <w:uiPriority w:val="99"/>
    <w:semiHidden/>
    <w:rsid w:val="00FF63FA"/>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FF63FA"/>
    <w:rPr>
      <w:rFonts w:ascii="Lucida Grande" w:hAnsi="Lucida Grande" w:cs="Times New Roman"/>
      <w:sz w:val="18"/>
      <w:szCs w:val="18"/>
    </w:rPr>
  </w:style>
  <w:style w:type="character" w:styleId="FootnoteReference">
    <w:name w:val="footnote reference"/>
    <w:basedOn w:val="DefaultParagraphFont"/>
    <w:uiPriority w:val="99"/>
    <w:rsid w:val="003F3A16"/>
    <w:rPr>
      <w:rFonts w:cs="Times New Roman"/>
      <w:vertAlign w:val="superscript"/>
    </w:rPr>
  </w:style>
  <w:style w:type="paragraph" w:styleId="Header">
    <w:name w:val="header"/>
    <w:basedOn w:val="Normal"/>
    <w:link w:val="HeaderChar"/>
    <w:uiPriority w:val="99"/>
    <w:rsid w:val="00A6205D"/>
    <w:pPr>
      <w:tabs>
        <w:tab w:val="center" w:pos="4320"/>
        <w:tab w:val="right" w:pos="8640"/>
      </w:tabs>
    </w:pPr>
  </w:style>
  <w:style w:type="character" w:customStyle="1" w:styleId="HeaderChar">
    <w:name w:val="Header Char"/>
    <w:basedOn w:val="DefaultParagraphFont"/>
    <w:link w:val="Header"/>
    <w:uiPriority w:val="99"/>
    <w:semiHidden/>
    <w:rsid w:val="00B43346"/>
    <w:rPr>
      <w:sz w:val="20"/>
      <w:szCs w:val="20"/>
    </w:rPr>
  </w:style>
  <w:style w:type="paragraph" w:styleId="Footer">
    <w:name w:val="footer"/>
    <w:basedOn w:val="Normal"/>
    <w:link w:val="FooterChar"/>
    <w:uiPriority w:val="99"/>
    <w:rsid w:val="00A6205D"/>
    <w:pPr>
      <w:tabs>
        <w:tab w:val="center" w:pos="4320"/>
        <w:tab w:val="right" w:pos="8640"/>
      </w:tabs>
    </w:pPr>
  </w:style>
  <w:style w:type="character" w:customStyle="1" w:styleId="FooterChar">
    <w:name w:val="Footer Char"/>
    <w:basedOn w:val="DefaultParagraphFont"/>
    <w:link w:val="Footer"/>
    <w:uiPriority w:val="99"/>
    <w:semiHidden/>
    <w:rsid w:val="00B4334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2363</Words>
  <Characters>13475</Characters>
  <Application>Microsoft Office Word</Application>
  <DocSecurity>0</DocSecurity>
  <Lines>112</Lines>
  <Paragraphs>31</Paragraphs>
  <ScaleCrop>false</ScaleCrop>
  <Company>Universiteit van Amsterdam</Company>
  <LinksUpToDate>false</LinksUpToDate>
  <CharactersWithSpaces>15807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Through Time: Tracing Concepts in Dutch Newspaper Discourse (1890-1990) using Word Embeddings</dc:title>
  <dc:subject/>
  <dc:creator>Bob2</dc:creator>
  <cp:keywords/>
  <dc:description/>
  <cp:lastModifiedBy>Bob2</cp:lastModifiedBy>
  <cp:revision>3</cp:revision>
  <cp:lastPrinted>2015-04-18T03:30:00Z</cp:lastPrinted>
  <dcterms:created xsi:type="dcterms:W3CDTF">2015-04-20T03:40:00Z</dcterms:created>
  <dcterms:modified xsi:type="dcterms:W3CDTF">2015-05-03T19:32:00Z</dcterms:modified>
</cp:coreProperties>
</file>