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BEF52E" w14:textId="763CC789" w:rsidR="00926D57" w:rsidRPr="00926D57" w:rsidRDefault="00926D57" w:rsidP="00926D57">
      <w:pPr>
        <w:spacing w:after="0" w:line="240" w:lineRule="auto"/>
        <w:rPr>
          <w:b/>
          <w:sz w:val="28"/>
          <w:szCs w:val="28"/>
          <w:lang w:val="en-AU"/>
        </w:rPr>
      </w:pPr>
      <w:r w:rsidRPr="00926D57">
        <w:rPr>
          <w:b/>
          <w:sz w:val="28"/>
          <w:szCs w:val="28"/>
          <w:lang w:val="en-AU"/>
        </w:rPr>
        <w:t>WIKSTRÖM — Local Music</w:t>
      </w:r>
    </w:p>
    <w:p w14:paraId="29ADDC09" w14:textId="0DDF12F9" w:rsidR="00926D57" w:rsidRPr="00926D57" w:rsidRDefault="00926D57" w:rsidP="00926D57">
      <w:pPr>
        <w:spacing w:after="0" w:line="240" w:lineRule="auto"/>
        <w:rPr>
          <w:lang w:val="en-AU"/>
        </w:rPr>
      </w:pPr>
      <w:r>
        <w:rPr>
          <w:lang w:val="en-AU"/>
        </w:rPr>
        <w:t>&lt;3 figures&gt;</w:t>
      </w:r>
    </w:p>
    <w:p w14:paraId="41E79BCB" w14:textId="77777777" w:rsidR="00926D57" w:rsidRDefault="00926D57" w:rsidP="00926D57">
      <w:pPr>
        <w:spacing w:after="0" w:line="240" w:lineRule="auto"/>
        <w:rPr>
          <w:b/>
          <w:lang w:val="en-AU"/>
        </w:rPr>
      </w:pPr>
    </w:p>
    <w:p w14:paraId="373FC063" w14:textId="09E55605" w:rsidR="006B4A34" w:rsidRPr="00926D57" w:rsidRDefault="006B4A34" w:rsidP="00926D57">
      <w:pPr>
        <w:spacing w:after="0" w:line="240" w:lineRule="auto"/>
        <w:rPr>
          <w:b/>
          <w:lang w:val="en-AU"/>
        </w:rPr>
      </w:pPr>
      <w:r w:rsidRPr="00926D57">
        <w:rPr>
          <w:b/>
          <w:lang w:val="en-AU"/>
        </w:rPr>
        <w:t>Local Music Repertoire and the Digitization of the International Music Indust</w:t>
      </w:r>
      <w:r w:rsidR="00A80369" w:rsidRPr="00926D57">
        <w:rPr>
          <w:b/>
          <w:lang w:val="en-AU"/>
        </w:rPr>
        <w:t>ry: An Empirical Analysis, 1994</w:t>
      </w:r>
      <w:r w:rsidRPr="00926D57">
        <w:rPr>
          <w:b/>
          <w:lang w:val="en-AU"/>
        </w:rPr>
        <w:t>–2013</w:t>
      </w:r>
    </w:p>
    <w:p w14:paraId="71BAF701" w14:textId="3E21AD52" w:rsidR="00926D57" w:rsidRPr="00905B6D" w:rsidRDefault="00926D57" w:rsidP="00926D57">
      <w:pPr>
        <w:spacing w:after="0" w:line="240" w:lineRule="auto"/>
        <w:rPr>
          <w:lang w:val="en-AU"/>
        </w:rPr>
      </w:pPr>
      <w:r w:rsidRPr="00905B6D">
        <w:rPr>
          <w:lang w:val="en-AU"/>
        </w:rPr>
        <w:t>Wikström</w:t>
      </w:r>
      <w:r>
        <w:rPr>
          <w:lang w:val="en-AU"/>
        </w:rPr>
        <w:t>, P.</w:t>
      </w:r>
    </w:p>
    <w:p w14:paraId="1CAB460B" w14:textId="77777777" w:rsidR="00E17BFA" w:rsidRPr="00926D57" w:rsidRDefault="00E17BFA" w:rsidP="00926D57">
      <w:pPr>
        <w:spacing w:after="0" w:line="240" w:lineRule="auto"/>
        <w:rPr>
          <w:b/>
          <w:lang w:val="en-AU"/>
        </w:rPr>
      </w:pPr>
    </w:p>
    <w:p w14:paraId="450B6004" w14:textId="77777777" w:rsidR="006B4A34" w:rsidRPr="00905B6D" w:rsidRDefault="006B4A34" w:rsidP="00926D57">
      <w:pPr>
        <w:spacing w:after="0"/>
        <w:rPr>
          <w:lang w:val="en-AU"/>
        </w:rPr>
      </w:pPr>
      <w:bookmarkStart w:id="0" w:name="_GoBack"/>
      <w:bookmarkEnd w:id="0"/>
    </w:p>
    <w:p w14:paraId="6825F6DE" w14:textId="1B1B1E71" w:rsidR="007961E7" w:rsidRDefault="00786639" w:rsidP="00926D57">
      <w:pPr>
        <w:spacing w:after="0"/>
        <w:rPr>
          <w:lang w:val="en-AU"/>
        </w:rPr>
      </w:pPr>
      <w:r>
        <w:rPr>
          <w:lang w:val="en-AU"/>
        </w:rPr>
        <w:t>In some of the countries where there has</w:t>
      </w:r>
      <w:r w:rsidR="00F33796">
        <w:rPr>
          <w:lang w:val="en-AU"/>
        </w:rPr>
        <w:t xml:space="preserve"> been a rapid increase in</w:t>
      </w:r>
      <w:r w:rsidR="003634D3">
        <w:rPr>
          <w:lang w:val="en-AU"/>
        </w:rPr>
        <w:t xml:space="preserve"> the</w:t>
      </w:r>
      <w:r w:rsidR="00F33796">
        <w:rPr>
          <w:lang w:val="en-AU"/>
        </w:rPr>
        <w:t xml:space="preserve"> use of online musi</w:t>
      </w:r>
      <w:r w:rsidR="0043768D">
        <w:rPr>
          <w:lang w:val="en-AU"/>
        </w:rPr>
        <w:t xml:space="preserve">c distribution technologies, </w:t>
      </w:r>
      <w:r w:rsidR="001453CE">
        <w:rPr>
          <w:lang w:val="en-AU"/>
        </w:rPr>
        <w:t xml:space="preserve">analysts have reported </w:t>
      </w:r>
      <w:r>
        <w:rPr>
          <w:lang w:val="en-AU"/>
        </w:rPr>
        <w:t>declining</w:t>
      </w:r>
      <w:r w:rsidR="00F33796">
        <w:rPr>
          <w:lang w:val="en-AU"/>
        </w:rPr>
        <w:t xml:space="preserve"> sales </w:t>
      </w:r>
      <w:r w:rsidR="00A15461">
        <w:rPr>
          <w:lang w:val="en-AU"/>
        </w:rPr>
        <w:t>of local music repertoire</w:t>
      </w:r>
      <w:r>
        <w:rPr>
          <w:lang w:val="en-AU"/>
        </w:rPr>
        <w:t xml:space="preserve"> (e.g.</w:t>
      </w:r>
      <w:r w:rsidR="000E7C62">
        <w:rPr>
          <w:lang w:val="en-AU"/>
        </w:rPr>
        <w:t>,</w:t>
      </w:r>
      <w:r>
        <w:rPr>
          <w:lang w:val="en-AU"/>
        </w:rPr>
        <w:t xml:space="preserve"> Nordgård, 2013). The analysts</w:t>
      </w:r>
      <w:r w:rsidR="00F33796">
        <w:rPr>
          <w:lang w:val="en-AU"/>
        </w:rPr>
        <w:t xml:space="preserve"> </w:t>
      </w:r>
      <w:r w:rsidR="003634D3">
        <w:rPr>
          <w:lang w:val="en-AU"/>
        </w:rPr>
        <w:t>are concerned about such tendencies</w:t>
      </w:r>
      <w:r w:rsidR="00F33796">
        <w:rPr>
          <w:lang w:val="en-AU"/>
        </w:rPr>
        <w:t xml:space="preserve"> since l</w:t>
      </w:r>
      <w:r w:rsidR="00F33796" w:rsidRPr="00905B6D">
        <w:rPr>
          <w:lang w:val="en-AU"/>
        </w:rPr>
        <w:t xml:space="preserve">ocal music </w:t>
      </w:r>
      <w:r w:rsidR="00F33796">
        <w:rPr>
          <w:lang w:val="en-AU"/>
        </w:rPr>
        <w:t>repertoire accounts for a sizable share</w:t>
      </w:r>
      <w:r w:rsidR="00F33796" w:rsidRPr="00905B6D">
        <w:rPr>
          <w:lang w:val="en-AU"/>
        </w:rPr>
        <w:t xml:space="preserve"> of an average country’s total recorded music </w:t>
      </w:r>
      <w:r w:rsidR="0043768D">
        <w:rPr>
          <w:lang w:val="en-AU"/>
        </w:rPr>
        <w:t xml:space="preserve">sales </w:t>
      </w:r>
      <w:r w:rsidR="00F33796" w:rsidRPr="00905B6D">
        <w:rPr>
          <w:lang w:val="en-AU"/>
        </w:rPr>
        <w:t>(</w:t>
      </w:r>
      <w:r w:rsidR="0043768D">
        <w:rPr>
          <w:lang w:val="en-AU"/>
        </w:rPr>
        <w:t>e.g.</w:t>
      </w:r>
      <w:r w:rsidR="000E7C62">
        <w:rPr>
          <w:lang w:val="en-AU"/>
        </w:rPr>
        <w:t>,</w:t>
      </w:r>
      <w:r w:rsidR="0043768D">
        <w:rPr>
          <w:lang w:val="en-AU"/>
        </w:rPr>
        <w:t xml:space="preserve"> </w:t>
      </w:r>
      <w:r w:rsidR="00F33796" w:rsidRPr="00905B6D">
        <w:rPr>
          <w:lang w:val="en-AU"/>
        </w:rPr>
        <w:t>IFPI, 2012).</w:t>
      </w:r>
      <w:r w:rsidR="00F33796">
        <w:rPr>
          <w:lang w:val="en-AU"/>
        </w:rPr>
        <w:t xml:space="preserve"> </w:t>
      </w:r>
      <w:r w:rsidR="00AA481B">
        <w:rPr>
          <w:lang w:val="en-AU"/>
        </w:rPr>
        <w:t xml:space="preserve">This </w:t>
      </w:r>
      <w:r w:rsidR="007961E7">
        <w:rPr>
          <w:lang w:val="en-AU"/>
        </w:rPr>
        <w:t>paper</w:t>
      </w:r>
      <w:r w:rsidR="001453CE">
        <w:rPr>
          <w:lang w:val="en-AU"/>
        </w:rPr>
        <w:t xml:space="preserve"> searches for empirical evidence that may confirm these reports in a number of music markets in North America, Europe</w:t>
      </w:r>
      <w:r w:rsidR="000E7C62">
        <w:rPr>
          <w:lang w:val="en-AU"/>
        </w:rPr>
        <w:t>,</w:t>
      </w:r>
      <w:r w:rsidR="001453CE">
        <w:rPr>
          <w:lang w:val="en-AU"/>
        </w:rPr>
        <w:t xml:space="preserve"> and Australasia.</w:t>
      </w:r>
      <w:r w:rsidR="00F33796">
        <w:rPr>
          <w:lang w:val="en-AU"/>
        </w:rPr>
        <w:t xml:space="preserve"> </w:t>
      </w:r>
      <w:r w:rsidR="007961E7">
        <w:rPr>
          <w:lang w:val="en-AU"/>
        </w:rPr>
        <w:t>The paper</w:t>
      </w:r>
      <w:r w:rsidR="001453CE">
        <w:rPr>
          <w:lang w:val="en-AU"/>
        </w:rPr>
        <w:t xml:space="preserve"> makes a contribution to the</w:t>
      </w:r>
      <w:r>
        <w:rPr>
          <w:lang w:val="en-AU"/>
        </w:rPr>
        <w:t xml:space="preserve"> literature </w:t>
      </w:r>
      <w:r w:rsidR="001453CE">
        <w:rPr>
          <w:lang w:val="en-AU"/>
        </w:rPr>
        <w:t xml:space="preserve">on the digital transformation of the music industry </w:t>
      </w:r>
      <w:r>
        <w:rPr>
          <w:lang w:val="en-AU"/>
        </w:rPr>
        <w:t>since it</w:t>
      </w:r>
      <w:r w:rsidR="007961E7">
        <w:rPr>
          <w:lang w:val="en-AU"/>
        </w:rPr>
        <w:t xml:space="preserve"> </w:t>
      </w:r>
      <w:r w:rsidR="00843F3B">
        <w:rPr>
          <w:lang w:val="en-AU"/>
        </w:rPr>
        <w:t xml:space="preserve">combines and </w:t>
      </w:r>
      <w:r w:rsidR="007961E7">
        <w:rPr>
          <w:lang w:val="en-AU"/>
        </w:rPr>
        <w:t xml:space="preserve">analyses data sources that previously have not been used </w:t>
      </w:r>
      <w:r>
        <w:rPr>
          <w:lang w:val="en-AU"/>
        </w:rPr>
        <w:t>in this context and give</w:t>
      </w:r>
      <w:r w:rsidR="001453CE">
        <w:rPr>
          <w:lang w:val="en-AU"/>
        </w:rPr>
        <w:t>s</w:t>
      </w:r>
      <w:r>
        <w:rPr>
          <w:lang w:val="en-AU"/>
        </w:rPr>
        <w:t xml:space="preserve"> a new perspective on </w:t>
      </w:r>
      <w:r w:rsidR="007961E7">
        <w:rPr>
          <w:lang w:val="en-AU"/>
        </w:rPr>
        <w:t>ch</w:t>
      </w:r>
      <w:r w:rsidR="003634D3">
        <w:rPr>
          <w:lang w:val="en-AU"/>
        </w:rPr>
        <w:t>anging user consumption practices</w:t>
      </w:r>
      <w:r w:rsidR="007961E7">
        <w:rPr>
          <w:lang w:val="en-AU"/>
        </w:rPr>
        <w:t xml:space="preserve"> in the music industry.</w:t>
      </w:r>
      <w:r w:rsidR="001C0130">
        <w:rPr>
          <w:lang w:val="en-AU"/>
        </w:rPr>
        <w:t xml:space="preserve"> </w:t>
      </w:r>
      <w:r w:rsidR="00F33796">
        <w:rPr>
          <w:lang w:val="en-AU"/>
        </w:rPr>
        <w:t xml:space="preserve">The paper </w:t>
      </w:r>
      <w:r w:rsidR="001C0130">
        <w:rPr>
          <w:lang w:val="en-AU"/>
        </w:rPr>
        <w:t xml:space="preserve">also </w:t>
      </w:r>
      <w:r w:rsidR="00F33796">
        <w:rPr>
          <w:lang w:val="en-AU"/>
        </w:rPr>
        <w:t>examines</w:t>
      </w:r>
      <w:r w:rsidR="005242ED">
        <w:rPr>
          <w:lang w:val="en-AU"/>
        </w:rPr>
        <w:t xml:space="preserve"> the </w:t>
      </w:r>
      <w:r w:rsidR="00F33796">
        <w:rPr>
          <w:lang w:val="en-AU"/>
        </w:rPr>
        <w:t xml:space="preserve">variation of </w:t>
      </w:r>
      <w:r w:rsidR="005242ED">
        <w:rPr>
          <w:lang w:val="en-AU"/>
        </w:rPr>
        <w:t xml:space="preserve">geographic diversity </w:t>
      </w:r>
      <w:r w:rsidR="00F33796">
        <w:rPr>
          <w:lang w:val="en-AU"/>
        </w:rPr>
        <w:t xml:space="preserve">over time </w:t>
      </w:r>
      <w:r w:rsidR="005242ED">
        <w:rPr>
          <w:lang w:val="en-AU"/>
        </w:rPr>
        <w:t xml:space="preserve">among international </w:t>
      </w:r>
      <w:r w:rsidR="003634D3">
        <w:rPr>
          <w:lang w:val="en-AU"/>
        </w:rPr>
        <w:t>acts</w:t>
      </w:r>
      <w:r w:rsidR="005242ED">
        <w:rPr>
          <w:lang w:val="en-AU"/>
        </w:rPr>
        <w:t xml:space="preserve"> that become commercially successful in </w:t>
      </w:r>
      <w:r w:rsidR="00F33796">
        <w:rPr>
          <w:lang w:val="en-AU"/>
        </w:rPr>
        <w:t>the countries covered by the study</w:t>
      </w:r>
      <w:r w:rsidR="005242ED">
        <w:rPr>
          <w:lang w:val="en-AU"/>
        </w:rPr>
        <w:t>.</w:t>
      </w:r>
    </w:p>
    <w:p w14:paraId="46EDBA4F" w14:textId="1DE98B15" w:rsidR="001C0130" w:rsidRDefault="00EF1460" w:rsidP="00926D57">
      <w:pPr>
        <w:spacing w:after="0"/>
        <w:ind w:firstLine="720"/>
        <w:rPr>
          <w:lang w:val="en-AU"/>
        </w:rPr>
      </w:pPr>
      <w:r>
        <w:rPr>
          <w:lang w:val="en-AU"/>
        </w:rPr>
        <w:t xml:space="preserve">In order to measure local repertoire </w:t>
      </w:r>
      <w:r w:rsidRPr="00BF5AB3">
        <w:rPr>
          <w:lang w:val="en-AU"/>
        </w:rPr>
        <w:t>share</w:t>
      </w:r>
      <w:r w:rsidR="005242ED" w:rsidRPr="00BF5AB3">
        <w:rPr>
          <w:lang w:val="en-AU"/>
        </w:rPr>
        <w:t xml:space="preserve"> (LRS) and international repertoire </w:t>
      </w:r>
      <w:r w:rsidR="007E417D" w:rsidRPr="00BF5AB3">
        <w:rPr>
          <w:lang w:val="en-AU"/>
        </w:rPr>
        <w:t>concentration (IRC</w:t>
      </w:r>
      <w:r w:rsidR="005242ED" w:rsidRPr="00BF5AB3">
        <w:rPr>
          <w:lang w:val="en-AU"/>
        </w:rPr>
        <w:t>)</w:t>
      </w:r>
      <w:r w:rsidRPr="00BF5AB3">
        <w:rPr>
          <w:lang w:val="en-AU"/>
        </w:rPr>
        <w:t xml:space="preserve">, weekly singles chart data </w:t>
      </w:r>
      <w:r w:rsidR="00A15461">
        <w:rPr>
          <w:lang w:val="en-AU"/>
        </w:rPr>
        <w:t>is</w:t>
      </w:r>
      <w:r w:rsidR="00843F3B">
        <w:rPr>
          <w:lang w:val="en-AU"/>
        </w:rPr>
        <w:t xml:space="preserve"> </w:t>
      </w:r>
      <w:r w:rsidRPr="00BF5AB3">
        <w:rPr>
          <w:lang w:val="en-AU"/>
        </w:rPr>
        <w:t xml:space="preserve">collected for </w:t>
      </w:r>
      <w:r w:rsidR="00BF5AB3" w:rsidRPr="00BF5AB3">
        <w:rPr>
          <w:lang w:val="en-AU"/>
        </w:rPr>
        <w:t>seven</w:t>
      </w:r>
      <w:r w:rsidR="00F33796" w:rsidRPr="00BF5AB3">
        <w:rPr>
          <w:lang w:val="en-AU"/>
        </w:rPr>
        <w:t xml:space="preserve"> </w:t>
      </w:r>
      <w:r w:rsidRPr="00BF5AB3">
        <w:rPr>
          <w:lang w:val="en-AU"/>
        </w:rPr>
        <w:t>countries</w:t>
      </w:r>
      <w:r w:rsidR="000E7C62">
        <w:rPr>
          <w:lang w:val="en-AU"/>
        </w:rPr>
        <w:t xml:space="preserve">: </w:t>
      </w:r>
      <w:r w:rsidRPr="00BF5AB3">
        <w:rPr>
          <w:lang w:val="en-AU"/>
        </w:rPr>
        <w:t>Australia, Austria, Belgium, Norway, Sweden, the U</w:t>
      </w:r>
      <w:r w:rsidR="000E7C62">
        <w:rPr>
          <w:lang w:val="en-AU"/>
        </w:rPr>
        <w:t>nited Kingdom,</w:t>
      </w:r>
      <w:r w:rsidRPr="00BF5AB3">
        <w:rPr>
          <w:lang w:val="en-AU"/>
        </w:rPr>
        <w:t xml:space="preserve"> and the U</w:t>
      </w:r>
      <w:r w:rsidR="000E7C62">
        <w:rPr>
          <w:lang w:val="en-AU"/>
        </w:rPr>
        <w:t>nited States</w:t>
      </w:r>
      <w:r w:rsidRPr="00BF5AB3">
        <w:rPr>
          <w:lang w:val="en-AU"/>
        </w:rPr>
        <w:t>. In total, data on</w:t>
      </w:r>
      <w:r w:rsidRPr="00905B6D">
        <w:rPr>
          <w:lang w:val="en-AU"/>
        </w:rPr>
        <w:t xml:space="preserve"> more than 270,000 chart items, 50,000 tracks</w:t>
      </w:r>
      <w:r w:rsidR="000E7C62">
        <w:rPr>
          <w:lang w:val="en-AU"/>
        </w:rPr>
        <w:t>,</w:t>
      </w:r>
      <w:r w:rsidRPr="00905B6D">
        <w:rPr>
          <w:lang w:val="en-AU"/>
        </w:rPr>
        <w:t xml:space="preserve"> and 30,000 </w:t>
      </w:r>
      <w:r w:rsidR="0043768D">
        <w:rPr>
          <w:lang w:val="en-AU"/>
        </w:rPr>
        <w:t>acts</w:t>
      </w:r>
      <w:r w:rsidRPr="00905B6D">
        <w:rPr>
          <w:lang w:val="en-AU"/>
        </w:rPr>
        <w:t xml:space="preserve"> ha</w:t>
      </w:r>
      <w:r w:rsidR="000E7C62">
        <w:rPr>
          <w:lang w:val="en-AU"/>
        </w:rPr>
        <w:t>ve</w:t>
      </w:r>
      <w:r w:rsidRPr="00905B6D">
        <w:rPr>
          <w:lang w:val="en-AU"/>
        </w:rPr>
        <w:t xml:space="preserve"> been mined, processed</w:t>
      </w:r>
      <w:r w:rsidR="000E7C62">
        <w:rPr>
          <w:lang w:val="en-AU"/>
        </w:rPr>
        <w:t>,</w:t>
      </w:r>
      <w:r w:rsidRPr="00905B6D">
        <w:rPr>
          <w:lang w:val="en-AU"/>
        </w:rPr>
        <w:t xml:space="preserve"> and analysed. By combining the chart data with location data from the music technology company </w:t>
      </w:r>
      <w:r w:rsidR="000E7C62">
        <w:rPr>
          <w:lang w:val="en-AU"/>
        </w:rPr>
        <w:t>t</w:t>
      </w:r>
      <w:r>
        <w:rPr>
          <w:lang w:val="en-AU"/>
        </w:rPr>
        <w:t>he Echo</w:t>
      </w:r>
      <w:r w:rsidR="00A15461">
        <w:rPr>
          <w:lang w:val="en-AU"/>
        </w:rPr>
        <w:t>Nest</w:t>
      </w:r>
      <w:r w:rsidR="000E7C62">
        <w:rPr>
          <w:lang w:val="en-AU"/>
        </w:rPr>
        <w:t>,</w:t>
      </w:r>
      <w:r w:rsidR="00A15461">
        <w:rPr>
          <w:lang w:val="en-AU"/>
        </w:rPr>
        <w:t xml:space="preserve"> it i</w:t>
      </w:r>
      <w:r w:rsidRPr="00905B6D">
        <w:rPr>
          <w:lang w:val="en-AU"/>
        </w:rPr>
        <w:t xml:space="preserve">s possible to </w:t>
      </w:r>
      <w:r w:rsidR="00A15461">
        <w:rPr>
          <w:lang w:val="en-AU"/>
        </w:rPr>
        <w:t>attach</w:t>
      </w:r>
      <w:r w:rsidRPr="00905B6D">
        <w:rPr>
          <w:lang w:val="en-AU"/>
        </w:rPr>
        <w:t xml:space="preserve"> country information to more than 93% of the data </w:t>
      </w:r>
      <w:r>
        <w:rPr>
          <w:lang w:val="en-AU"/>
        </w:rPr>
        <w:t>points</w:t>
      </w:r>
      <w:r w:rsidR="00F33796">
        <w:rPr>
          <w:lang w:val="en-AU"/>
        </w:rPr>
        <w:t xml:space="preserve"> included in the study.</w:t>
      </w:r>
      <w:r w:rsidR="00804409">
        <w:rPr>
          <w:lang w:val="en-AU"/>
        </w:rPr>
        <w:t xml:space="preserve"> </w:t>
      </w:r>
      <w:r w:rsidR="00F959FE">
        <w:rPr>
          <w:lang w:val="en-AU"/>
        </w:rPr>
        <w:t xml:space="preserve">The local repertoire share </w:t>
      </w:r>
      <w:r w:rsidR="0000376C">
        <w:rPr>
          <w:lang w:val="en-AU"/>
        </w:rPr>
        <w:t xml:space="preserve">(LRS) </w:t>
      </w:r>
      <w:r w:rsidR="001153B3">
        <w:rPr>
          <w:lang w:val="en-AU"/>
        </w:rPr>
        <w:t xml:space="preserve">for each </w:t>
      </w:r>
      <w:r w:rsidR="00A15461">
        <w:rPr>
          <w:lang w:val="en-AU"/>
        </w:rPr>
        <w:t>country i</w:t>
      </w:r>
      <w:r w:rsidR="0043768D">
        <w:rPr>
          <w:lang w:val="en-AU"/>
        </w:rPr>
        <w:t xml:space="preserve">s calculated for each year </w:t>
      </w:r>
      <w:r w:rsidR="00F959FE">
        <w:rPr>
          <w:lang w:val="en-AU"/>
        </w:rPr>
        <w:t xml:space="preserve">by dividing the number of chart items by local </w:t>
      </w:r>
      <w:r w:rsidR="0043768D">
        <w:rPr>
          <w:lang w:val="en-AU"/>
        </w:rPr>
        <w:t>acts</w:t>
      </w:r>
      <w:r w:rsidR="00F959FE">
        <w:rPr>
          <w:lang w:val="en-AU"/>
        </w:rPr>
        <w:t xml:space="preserve"> with the total number of </w:t>
      </w:r>
      <w:r w:rsidR="00F33796">
        <w:rPr>
          <w:lang w:val="en-AU"/>
        </w:rPr>
        <w:t xml:space="preserve">chart items during that </w:t>
      </w:r>
      <w:r w:rsidR="0043768D">
        <w:rPr>
          <w:lang w:val="en-AU"/>
        </w:rPr>
        <w:t>year.</w:t>
      </w:r>
      <w:r w:rsidR="00F33796">
        <w:rPr>
          <w:lang w:val="en-AU"/>
        </w:rPr>
        <w:t xml:space="preserve"> </w:t>
      </w:r>
      <w:r w:rsidR="0043768D">
        <w:rPr>
          <w:lang w:val="en-AU"/>
        </w:rPr>
        <w:t>T</w:t>
      </w:r>
      <w:r w:rsidR="005242ED">
        <w:rPr>
          <w:lang w:val="en-AU"/>
        </w:rPr>
        <w:t xml:space="preserve">he </w:t>
      </w:r>
      <w:r w:rsidR="007E417D">
        <w:rPr>
          <w:lang w:val="en-AU"/>
        </w:rPr>
        <w:t>IRC</w:t>
      </w:r>
      <w:r w:rsidR="0000376C">
        <w:rPr>
          <w:lang w:val="en-AU"/>
        </w:rPr>
        <w:t xml:space="preserve"> </w:t>
      </w:r>
      <w:r w:rsidR="0043768D">
        <w:rPr>
          <w:lang w:val="en-AU"/>
        </w:rPr>
        <w:t xml:space="preserve">for a certain country </w:t>
      </w:r>
      <w:r w:rsidR="007E417D">
        <w:rPr>
          <w:lang w:val="en-AU"/>
        </w:rPr>
        <w:t xml:space="preserve">during a certain year </w:t>
      </w:r>
      <w:r w:rsidR="00B32071">
        <w:rPr>
          <w:lang w:val="en-AU"/>
        </w:rPr>
        <w:t>i</w:t>
      </w:r>
      <w:r w:rsidR="005242ED">
        <w:rPr>
          <w:lang w:val="en-AU"/>
        </w:rPr>
        <w:t xml:space="preserve">s </w:t>
      </w:r>
      <w:r w:rsidR="007E417D">
        <w:rPr>
          <w:lang w:val="en-AU"/>
        </w:rPr>
        <w:t xml:space="preserve">calculated as the Herfindahl-Hirschman index, where the size of the total </w:t>
      </w:r>
      <w:r w:rsidR="000E7C62">
        <w:rPr>
          <w:lang w:val="en-AU"/>
        </w:rPr>
        <w:t>‘</w:t>
      </w:r>
      <w:r w:rsidR="007E417D">
        <w:rPr>
          <w:lang w:val="en-AU"/>
        </w:rPr>
        <w:t>market</w:t>
      </w:r>
      <w:r w:rsidR="000E7C62">
        <w:rPr>
          <w:lang w:val="en-AU"/>
        </w:rPr>
        <w:t>’</w:t>
      </w:r>
      <w:r w:rsidR="007E417D">
        <w:rPr>
          <w:lang w:val="en-AU"/>
        </w:rPr>
        <w:t xml:space="preserve"> is defined as the number of chart items by international acts. The index is then calculated based on each co</w:t>
      </w:r>
      <w:r w:rsidR="00984BD0">
        <w:rPr>
          <w:lang w:val="en-AU"/>
        </w:rPr>
        <w:t xml:space="preserve">untry’s share of that </w:t>
      </w:r>
      <w:r w:rsidR="000E7C62">
        <w:rPr>
          <w:lang w:val="en-AU"/>
        </w:rPr>
        <w:t>‘</w:t>
      </w:r>
      <w:r w:rsidR="00984BD0">
        <w:rPr>
          <w:lang w:val="en-AU"/>
        </w:rPr>
        <w:t>market</w:t>
      </w:r>
      <w:r w:rsidR="000E7C62">
        <w:rPr>
          <w:lang w:val="en-AU"/>
        </w:rPr>
        <w:t>’</w:t>
      </w:r>
      <w:r w:rsidR="00984BD0">
        <w:rPr>
          <w:lang w:val="en-AU"/>
        </w:rPr>
        <w:t>.</w:t>
      </w:r>
    </w:p>
    <w:p w14:paraId="3E4F7F61" w14:textId="6F785ED1" w:rsidR="00A80369" w:rsidRPr="00905B6D" w:rsidRDefault="00A80369" w:rsidP="00926D57">
      <w:pPr>
        <w:spacing w:after="0"/>
        <w:ind w:firstLine="720"/>
        <w:rPr>
          <w:rFonts w:eastAsiaTheme="minorEastAsia"/>
          <w:lang w:val="en-AU"/>
        </w:rPr>
      </w:pPr>
      <w:r>
        <w:rPr>
          <w:rFonts w:eastAsiaTheme="minorEastAsia"/>
          <w:lang w:val="en-AU"/>
        </w:rPr>
        <w:t>F</w:t>
      </w:r>
      <w:r w:rsidRPr="00905B6D">
        <w:rPr>
          <w:rFonts w:eastAsiaTheme="minorEastAsia"/>
          <w:lang w:val="en-AU"/>
        </w:rPr>
        <w:t xml:space="preserve">igure </w:t>
      </w:r>
      <w:r>
        <w:rPr>
          <w:rFonts w:eastAsiaTheme="minorEastAsia"/>
          <w:lang w:val="en-AU"/>
        </w:rPr>
        <w:t xml:space="preserve">1 </w:t>
      </w:r>
      <w:r w:rsidRPr="00905B6D">
        <w:rPr>
          <w:rFonts w:eastAsiaTheme="minorEastAsia"/>
          <w:lang w:val="en-AU"/>
        </w:rPr>
        <w:t xml:space="preserve">shows how </w:t>
      </w:r>
      <w:r w:rsidR="00984BD0">
        <w:rPr>
          <w:rFonts w:eastAsiaTheme="minorEastAsia"/>
          <w:lang w:val="en-AU"/>
        </w:rPr>
        <w:t xml:space="preserve">average </w:t>
      </w:r>
      <w:r>
        <w:rPr>
          <w:rFonts w:eastAsiaTheme="minorEastAsia"/>
          <w:lang w:val="en-AU"/>
        </w:rPr>
        <w:t>local repertoire share varies</w:t>
      </w:r>
      <w:r w:rsidRPr="00905B6D">
        <w:rPr>
          <w:rFonts w:eastAsiaTheme="minorEastAsia"/>
          <w:lang w:val="en-AU"/>
        </w:rPr>
        <w:t xml:space="preserve"> over time.</w:t>
      </w:r>
      <w:r w:rsidR="000B039C" w:rsidRPr="000B039C">
        <w:rPr>
          <w:rFonts w:eastAsiaTheme="minorEastAsia"/>
          <w:lang w:val="en-AU"/>
        </w:rPr>
        <w:t xml:space="preserve"> </w:t>
      </w:r>
      <w:r w:rsidR="000B039C">
        <w:rPr>
          <w:rFonts w:eastAsiaTheme="minorEastAsia"/>
          <w:lang w:val="en-AU"/>
        </w:rPr>
        <w:t xml:space="preserve">It </w:t>
      </w:r>
      <w:r w:rsidR="000B039C" w:rsidRPr="00905B6D">
        <w:rPr>
          <w:rFonts w:eastAsiaTheme="minorEastAsia"/>
          <w:lang w:val="en-AU"/>
        </w:rPr>
        <w:t xml:space="preserve">shows </w:t>
      </w:r>
      <w:r w:rsidR="000B039C">
        <w:rPr>
          <w:rFonts w:eastAsiaTheme="minorEastAsia"/>
          <w:lang w:val="en-AU"/>
        </w:rPr>
        <w:t xml:space="preserve">that </w:t>
      </w:r>
      <w:r w:rsidR="000B039C" w:rsidRPr="00905B6D">
        <w:rPr>
          <w:rFonts w:eastAsiaTheme="minorEastAsia"/>
          <w:lang w:val="en-AU"/>
        </w:rPr>
        <w:t xml:space="preserve">LRS </w:t>
      </w:r>
      <w:r w:rsidR="000B039C">
        <w:rPr>
          <w:rFonts w:eastAsiaTheme="minorEastAsia"/>
          <w:lang w:val="en-AU"/>
        </w:rPr>
        <w:t xml:space="preserve">remained relatively stable from the beginning of the period until the turn of the </w:t>
      </w:r>
      <w:r w:rsidR="00843F3B">
        <w:rPr>
          <w:rFonts w:eastAsiaTheme="minorEastAsia"/>
          <w:lang w:val="en-AU"/>
        </w:rPr>
        <w:t>millennium</w:t>
      </w:r>
      <w:r w:rsidR="000B039C">
        <w:rPr>
          <w:rFonts w:eastAsiaTheme="minorEastAsia"/>
          <w:lang w:val="en-AU"/>
        </w:rPr>
        <w:t xml:space="preserve">. It then increased </w:t>
      </w:r>
      <w:r w:rsidR="000B039C" w:rsidRPr="00905B6D">
        <w:rPr>
          <w:rFonts w:eastAsiaTheme="minorEastAsia"/>
          <w:lang w:val="en-AU"/>
        </w:rPr>
        <w:t xml:space="preserve">from approximately 30% </w:t>
      </w:r>
      <w:r w:rsidR="000B039C">
        <w:rPr>
          <w:rFonts w:eastAsiaTheme="minorEastAsia"/>
          <w:lang w:val="en-AU"/>
        </w:rPr>
        <w:t>and peaked at about 40</w:t>
      </w:r>
      <w:r w:rsidR="000B039C" w:rsidRPr="00905B6D">
        <w:rPr>
          <w:rFonts w:eastAsiaTheme="minorEastAsia"/>
          <w:lang w:val="en-AU"/>
        </w:rPr>
        <w:t>% in 2006</w:t>
      </w:r>
      <w:r w:rsidR="000B039C">
        <w:rPr>
          <w:rFonts w:eastAsiaTheme="minorEastAsia"/>
          <w:lang w:val="en-AU"/>
        </w:rPr>
        <w:t xml:space="preserve">. </w:t>
      </w:r>
      <w:r w:rsidR="00843F3B">
        <w:rPr>
          <w:rFonts w:eastAsiaTheme="minorEastAsia"/>
          <w:lang w:val="en-AU"/>
        </w:rPr>
        <w:t>From 2007 onwards</w:t>
      </w:r>
      <w:r w:rsidR="000B039C">
        <w:rPr>
          <w:rFonts w:eastAsiaTheme="minorEastAsia"/>
          <w:lang w:val="en-AU"/>
        </w:rPr>
        <w:t xml:space="preserve">, LRS has decreased </w:t>
      </w:r>
      <w:r w:rsidR="000B039C" w:rsidRPr="00905B6D">
        <w:rPr>
          <w:rFonts w:eastAsiaTheme="minorEastAsia"/>
          <w:lang w:val="en-AU"/>
        </w:rPr>
        <w:t xml:space="preserve">and </w:t>
      </w:r>
      <w:r w:rsidR="00843F3B">
        <w:rPr>
          <w:rFonts w:eastAsiaTheme="minorEastAsia"/>
          <w:lang w:val="en-AU"/>
        </w:rPr>
        <w:t>has been relatively stable at 33% since 2011.</w:t>
      </w:r>
    </w:p>
    <w:p w14:paraId="0AD67E5D" w14:textId="34957823" w:rsidR="00A80369" w:rsidRPr="00905B6D" w:rsidRDefault="00DF78BE" w:rsidP="00926D57">
      <w:pPr>
        <w:spacing w:after="0" w:line="240" w:lineRule="auto"/>
        <w:jc w:val="center"/>
        <w:rPr>
          <w:rFonts w:eastAsiaTheme="minorEastAsia"/>
          <w:lang w:val="en-AU"/>
        </w:rPr>
      </w:pPr>
      <w:r>
        <w:rPr>
          <w:noProof/>
        </w:rPr>
        <w:lastRenderedPageBreak/>
        <w:drawing>
          <wp:anchor distT="0" distB="0" distL="114300" distR="114300" simplePos="0" relativeHeight="251658240" behindDoc="0" locked="0" layoutInCell="1" allowOverlap="1" wp14:anchorId="03F706D2" wp14:editId="018048C8">
            <wp:simplePos x="0" y="0"/>
            <wp:positionH relativeFrom="column">
              <wp:posOffset>790575</wp:posOffset>
            </wp:positionH>
            <wp:positionV relativeFrom="paragraph">
              <wp:posOffset>0</wp:posOffset>
            </wp:positionV>
            <wp:extent cx="4597400" cy="2908300"/>
            <wp:effectExtent l="0" t="0" r="0" b="6350"/>
            <wp:wrapTopAndBottom/>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204599CB" w14:textId="2929BE6A" w:rsidR="00926D57" w:rsidRDefault="00DE590A" w:rsidP="00926D57">
      <w:pPr>
        <w:spacing w:after="0"/>
        <w:rPr>
          <w:i/>
          <w:sz w:val="16"/>
          <w:szCs w:val="16"/>
          <w:lang w:val="en-AU"/>
        </w:rPr>
      </w:pPr>
      <w:r>
        <w:rPr>
          <w:i/>
          <w:sz w:val="16"/>
          <w:szCs w:val="16"/>
          <w:lang w:val="en-AU"/>
        </w:rPr>
        <w:pict w14:anchorId="417AAECA">
          <v:rect id="_x0000_i1025" style="width:0;height:1.5pt" o:hralign="center" o:hrstd="t" o:hr="t" fillcolor="#a0a0a0" stroked="f"/>
        </w:pict>
      </w:r>
    </w:p>
    <w:p w14:paraId="61BA6C42" w14:textId="4181A86B" w:rsidR="00A80369" w:rsidRPr="006715D0" w:rsidRDefault="00A80369" w:rsidP="006715D0">
      <w:pPr>
        <w:spacing w:after="0"/>
        <w:rPr>
          <w:lang w:val="en-AU"/>
        </w:rPr>
      </w:pPr>
      <w:r w:rsidRPr="006715D0">
        <w:rPr>
          <w:lang w:val="en-AU"/>
        </w:rPr>
        <w:t>Figure 1</w:t>
      </w:r>
      <w:r w:rsidR="000E7C62">
        <w:rPr>
          <w:lang w:val="en-AU"/>
        </w:rPr>
        <w:t>.</w:t>
      </w:r>
      <w:r w:rsidRPr="006715D0">
        <w:rPr>
          <w:lang w:val="en-AU"/>
        </w:rPr>
        <w:t xml:space="preserve"> Local reper</w:t>
      </w:r>
      <w:r w:rsidR="00DF78BE" w:rsidRPr="006715D0">
        <w:rPr>
          <w:lang w:val="en-AU"/>
        </w:rPr>
        <w:t>toire share is flat until the turn of the millennium, increases during ’00</w:t>
      </w:r>
      <w:r w:rsidR="000E7C62">
        <w:rPr>
          <w:lang w:val="en-AU"/>
        </w:rPr>
        <w:t>–</w:t>
      </w:r>
      <w:r w:rsidR="00DF78BE" w:rsidRPr="006715D0">
        <w:rPr>
          <w:lang w:val="en-AU"/>
        </w:rPr>
        <w:t>’06</w:t>
      </w:r>
      <w:r w:rsidR="00881851">
        <w:rPr>
          <w:lang w:val="en-AU"/>
        </w:rPr>
        <w:t>,</w:t>
      </w:r>
      <w:r w:rsidR="00DF78BE" w:rsidRPr="006715D0">
        <w:rPr>
          <w:lang w:val="en-AU"/>
        </w:rPr>
        <w:t xml:space="preserve"> and</w:t>
      </w:r>
      <w:r w:rsidR="00DF78BE" w:rsidRPr="006715D0">
        <w:rPr>
          <w:lang w:val="en-AU"/>
        </w:rPr>
        <w:br/>
        <w:t xml:space="preserve">then decreases </w:t>
      </w:r>
      <w:r w:rsidRPr="006715D0">
        <w:rPr>
          <w:lang w:val="en-AU"/>
        </w:rPr>
        <w:t>during ’07</w:t>
      </w:r>
      <w:r w:rsidR="000E7C62">
        <w:rPr>
          <w:lang w:val="en-AU"/>
        </w:rPr>
        <w:t>–</w:t>
      </w:r>
      <w:r w:rsidRPr="006715D0">
        <w:rPr>
          <w:lang w:val="en-AU"/>
        </w:rPr>
        <w:t>’13.</w:t>
      </w:r>
    </w:p>
    <w:p w14:paraId="5644A000" w14:textId="77777777" w:rsidR="00926D57" w:rsidRDefault="00926D57" w:rsidP="00926D57">
      <w:pPr>
        <w:spacing w:after="0"/>
        <w:ind w:firstLine="720"/>
        <w:rPr>
          <w:lang w:val="en-AU"/>
        </w:rPr>
      </w:pPr>
    </w:p>
    <w:p w14:paraId="6E5004EC" w14:textId="02CE14BA" w:rsidR="000B039C" w:rsidRDefault="00984BD0" w:rsidP="00926D57">
      <w:pPr>
        <w:spacing w:after="0"/>
        <w:ind w:firstLine="720"/>
        <w:rPr>
          <w:lang w:val="en-AU"/>
        </w:rPr>
      </w:pPr>
      <w:r>
        <w:rPr>
          <w:lang w:val="en-AU"/>
        </w:rPr>
        <w:t>The second variable (IRC</w:t>
      </w:r>
      <w:r w:rsidR="00843F3B">
        <w:rPr>
          <w:lang w:val="en-AU"/>
        </w:rPr>
        <w:t>)</w:t>
      </w:r>
      <w:r>
        <w:rPr>
          <w:lang w:val="en-AU"/>
        </w:rPr>
        <w:t xml:space="preserve"> is presented in </w:t>
      </w:r>
      <w:r w:rsidR="000E7C62">
        <w:rPr>
          <w:lang w:val="en-AU"/>
        </w:rPr>
        <w:t>F</w:t>
      </w:r>
      <w:r w:rsidR="000B039C">
        <w:rPr>
          <w:lang w:val="en-AU"/>
        </w:rPr>
        <w:t>igure 2</w:t>
      </w:r>
      <w:r>
        <w:rPr>
          <w:lang w:val="en-AU"/>
        </w:rPr>
        <w:t>, which</w:t>
      </w:r>
      <w:r w:rsidR="000B039C">
        <w:rPr>
          <w:lang w:val="en-AU"/>
        </w:rPr>
        <w:t xml:space="preserve"> shows </w:t>
      </w:r>
      <w:r>
        <w:rPr>
          <w:lang w:val="en-AU"/>
        </w:rPr>
        <w:t>that</w:t>
      </w:r>
      <w:r w:rsidR="000B039C">
        <w:rPr>
          <w:lang w:val="en-AU"/>
        </w:rPr>
        <w:t xml:space="preserve"> the </w:t>
      </w:r>
      <w:r>
        <w:rPr>
          <w:lang w:val="en-AU"/>
        </w:rPr>
        <w:t xml:space="preserve">geographic </w:t>
      </w:r>
      <w:r w:rsidR="000B039C">
        <w:rPr>
          <w:lang w:val="en-AU"/>
        </w:rPr>
        <w:t xml:space="preserve">concentration </w:t>
      </w:r>
      <w:r>
        <w:rPr>
          <w:lang w:val="en-AU"/>
        </w:rPr>
        <w:t>within</w:t>
      </w:r>
      <w:r w:rsidR="000B039C">
        <w:rPr>
          <w:lang w:val="en-AU"/>
        </w:rPr>
        <w:t xml:space="preserve"> international repertoire </w:t>
      </w:r>
      <w:r w:rsidR="001153B3">
        <w:rPr>
          <w:lang w:val="en-AU"/>
        </w:rPr>
        <w:t xml:space="preserve">(IRC) </w:t>
      </w:r>
      <w:r w:rsidR="000B039C">
        <w:rPr>
          <w:lang w:val="en-AU"/>
        </w:rPr>
        <w:t>remained relatively stable until the turn of the millennium</w:t>
      </w:r>
      <w:r>
        <w:rPr>
          <w:lang w:val="en-AU"/>
        </w:rPr>
        <w:t>. It t</w:t>
      </w:r>
      <w:r w:rsidR="000B039C">
        <w:rPr>
          <w:lang w:val="en-AU"/>
        </w:rPr>
        <w:t>hen increased until 2009</w:t>
      </w:r>
      <w:r w:rsidR="00571B3A">
        <w:rPr>
          <w:lang w:val="en-AU"/>
        </w:rPr>
        <w:t>, and finally decreased towards the end of the period.</w:t>
      </w:r>
    </w:p>
    <w:p w14:paraId="3174CD2A" w14:textId="77777777" w:rsidR="00926D57" w:rsidRPr="00571B3A" w:rsidRDefault="00926D57" w:rsidP="00926D57">
      <w:pPr>
        <w:spacing w:after="0"/>
        <w:ind w:firstLine="720"/>
        <w:rPr>
          <w:lang w:val="en-AU"/>
        </w:rPr>
      </w:pPr>
    </w:p>
    <w:p w14:paraId="4AF5C93D" w14:textId="41A02B03" w:rsidR="00926D57" w:rsidRDefault="00DF78BE" w:rsidP="00926D57">
      <w:pPr>
        <w:spacing w:after="0"/>
        <w:rPr>
          <w:i/>
          <w:sz w:val="16"/>
          <w:szCs w:val="16"/>
          <w:lang w:val="en-AU"/>
        </w:rPr>
      </w:pPr>
      <w:r>
        <w:rPr>
          <w:noProof/>
        </w:rPr>
        <w:drawing>
          <wp:anchor distT="0" distB="0" distL="114300" distR="114300" simplePos="0" relativeHeight="251659264" behindDoc="0" locked="0" layoutInCell="1" allowOverlap="1" wp14:anchorId="3D5E8BF2" wp14:editId="73AE51E0">
            <wp:simplePos x="0" y="0"/>
            <wp:positionH relativeFrom="column">
              <wp:posOffset>800100</wp:posOffset>
            </wp:positionH>
            <wp:positionV relativeFrom="paragraph">
              <wp:posOffset>3175</wp:posOffset>
            </wp:positionV>
            <wp:extent cx="4584700" cy="2933065"/>
            <wp:effectExtent l="0" t="0" r="6350" b="635"/>
            <wp:wrapTopAndBottom/>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DE590A">
        <w:rPr>
          <w:i/>
          <w:sz w:val="16"/>
          <w:szCs w:val="16"/>
          <w:lang w:val="en-AU"/>
        </w:rPr>
        <w:pict w14:anchorId="7961E45C">
          <v:rect id="_x0000_i1026" style="width:0;height:1.5pt" o:hralign="center" o:hrstd="t" o:hr="t" fillcolor="#a0a0a0" stroked="f"/>
        </w:pict>
      </w:r>
    </w:p>
    <w:p w14:paraId="4B332A05" w14:textId="7DB7CED8" w:rsidR="00A80369" w:rsidRPr="006715D0" w:rsidRDefault="00A80369" w:rsidP="006715D0">
      <w:pPr>
        <w:spacing w:after="0"/>
        <w:rPr>
          <w:lang w:val="en-AU"/>
        </w:rPr>
      </w:pPr>
      <w:r w:rsidRPr="006715D0">
        <w:rPr>
          <w:lang w:val="en-AU"/>
        </w:rPr>
        <w:t>Figure 2</w:t>
      </w:r>
      <w:r w:rsidR="000E7C62">
        <w:rPr>
          <w:lang w:val="en-AU"/>
        </w:rPr>
        <w:t>.</w:t>
      </w:r>
      <w:r w:rsidRPr="006715D0">
        <w:rPr>
          <w:lang w:val="en-AU"/>
        </w:rPr>
        <w:t xml:space="preserve"> International </w:t>
      </w:r>
      <w:r w:rsidR="000E7C62">
        <w:rPr>
          <w:lang w:val="en-AU"/>
        </w:rPr>
        <w:t>r</w:t>
      </w:r>
      <w:r w:rsidRPr="006715D0">
        <w:rPr>
          <w:lang w:val="en-AU"/>
        </w:rPr>
        <w:t xml:space="preserve">epertoire </w:t>
      </w:r>
      <w:r w:rsidR="000E7C62">
        <w:rPr>
          <w:lang w:val="en-AU"/>
        </w:rPr>
        <w:t>c</w:t>
      </w:r>
      <w:r w:rsidRPr="006715D0">
        <w:rPr>
          <w:lang w:val="en-AU"/>
        </w:rPr>
        <w:t>oncentration</w:t>
      </w:r>
      <w:r w:rsidR="00DF78BE" w:rsidRPr="006715D0">
        <w:rPr>
          <w:lang w:val="en-AU"/>
        </w:rPr>
        <w:t xml:space="preserve"> is relatively flat until the turn of the millennium</w:t>
      </w:r>
      <w:r w:rsidR="000E7C62">
        <w:rPr>
          <w:lang w:val="en-AU"/>
        </w:rPr>
        <w:t>,</w:t>
      </w:r>
      <w:r w:rsidR="00DF78BE" w:rsidRPr="006715D0">
        <w:rPr>
          <w:lang w:val="en-AU"/>
        </w:rPr>
        <w:t xml:space="preserve"> increases during the</w:t>
      </w:r>
      <w:r w:rsidR="000E7C62">
        <w:rPr>
          <w:lang w:val="en-AU"/>
        </w:rPr>
        <w:t xml:space="preserve"> </w:t>
      </w:r>
      <w:r w:rsidR="00DF78BE" w:rsidRPr="006715D0">
        <w:rPr>
          <w:lang w:val="en-AU"/>
        </w:rPr>
        <w:t>’0</w:t>
      </w:r>
      <w:r w:rsidR="000E7C62">
        <w:rPr>
          <w:lang w:val="en-AU"/>
        </w:rPr>
        <w:t>0–</w:t>
      </w:r>
      <w:r w:rsidRPr="006715D0">
        <w:rPr>
          <w:lang w:val="en-AU"/>
        </w:rPr>
        <w:t xml:space="preserve">’09 </w:t>
      </w:r>
      <w:r w:rsidR="000E7C62">
        <w:rPr>
          <w:lang w:val="en-AU"/>
        </w:rPr>
        <w:t xml:space="preserve">period, </w:t>
      </w:r>
      <w:r w:rsidRPr="006715D0">
        <w:rPr>
          <w:lang w:val="en-AU"/>
        </w:rPr>
        <w:t xml:space="preserve">and </w:t>
      </w:r>
      <w:r w:rsidR="00DF78BE" w:rsidRPr="006715D0">
        <w:rPr>
          <w:lang w:val="en-AU"/>
        </w:rPr>
        <w:t>finally</w:t>
      </w:r>
      <w:r w:rsidRPr="006715D0">
        <w:rPr>
          <w:lang w:val="en-AU"/>
        </w:rPr>
        <w:t xml:space="preserve"> </w:t>
      </w:r>
      <w:r w:rsidR="00DF78BE" w:rsidRPr="006715D0">
        <w:rPr>
          <w:lang w:val="en-AU"/>
        </w:rPr>
        <w:t xml:space="preserve">rapidly </w:t>
      </w:r>
      <w:r w:rsidRPr="006715D0">
        <w:rPr>
          <w:lang w:val="en-AU"/>
        </w:rPr>
        <w:t>declines.</w:t>
      </w:r>
    </w:p>
    <w:p w14:paraId="0187E34F" w14:textId="77777777" w:rsidR="00926D57" w:rsidRDefault="00926D57" w:rsidP="00926D57">
      <w:pPr>
        <w:spacing w:after="0"/>
        <w:jc w:val="center"/>
        <w:rPr>
          <w:i/>
          <w:sz w:val="16"/>
          <w:szCs w:val="16"/>
          <w:lang w:val="en-AU"/>
        </w:rPr>
      </w:pPr>
    </w:p>
    <w:p w14:paraId="5527F496" w14:textId="77777777" w:rsidR="00926D57" w:rsidRPr="00905B6D" w:rsidRDefault="00926D57" w:rsidP="00926D57">
      <w:pPr>
        <w:spacing w:after="0"/>
        <w:jc w:val="center"/>
        <w:rPr>
          <w:i/>
          <w:sz w:val="16"/>
          <w:szCs w:val="16"/>
          <w:lang w:val="en-AU"/>
        </w:rPr>
      </w:pPr>
    </w:p>
    <w:p w14:paraId="7EE2EF65" w14:textId="38AF8BBF" w:rsidR="006E33BA" w:rsidRDefault="00571B3A" w:rsidP="00926D57">
      <w:pPr>
        <w:spacing w:after="0"/>
        <w:ind w:firstLine="720"/>
        <w:rPr>
          <w:rFonts w:eastAsiaTheme="minorEastAsia"/>
          <w:lang w:val="en-AU"/>
        </w:rPr>
      </w:pPr>
      <w:r>
        <w:rPr>
          <w:rFonts w:eastAsiaTheme="minorEastAsia"/>
          <w:lang w:val="en-AU"/>
        </w:rPr>
        <w:t xml:space="preserve">There are similarities between </w:t>
      </w:r>
      <w:r w:rsidR="00B32071">
        <w:rPr>
          <w:rFonts w:eastAsiaTheme="minorEastAsia"/>
          <w:lang w:val="en-AU"/>
        </w:rPr>
        <w:t>how LRS and IRC vary over time</w:t>
      </w:r>
      <w:r>
        <w:rPr>
          <w:rFonts w:eastAsiaTheme="minorEastAsia"/>
          <w:lang w:val="en-AU"/>
        </w:rPr>
        <w:t>.</w:t>
      </w:r>
      <w:r w:rsidR="00843F3B">
        <w:rPr>
          <w:rFonts w:eastAsiaTheme="minorEastAsia"/>
          <w:lang w:val="en-AU"/>
        </w:rPr>
        <w:t xml:space="preserve"> </w:t>
      </w:r>
      <w:r w:rsidR="009B2687">
        <w:rPr>
          <w:rFonts w:eastAsiaTheme="minorEastAsia"/>
          <w:lang w:val="en-AU"/>
        </w:rPr>
        <w:t>The paper notes that a</w:t>
      </w:r>
      <w:r w:rsidR="00843F3B">
        <w:rPr>
          <w:rFonts w:eastAsiaTheme="minorEastAsia"/>
          <w:lang w:val="en-AU"/>
        </w:rPr>
        <w:t xml:space="preserve">fter an initially </w:t>
      </w:r>
      <w:r w:rsidR="009B2687">
        <w:rPr>
          <w:rFonts w:eastAsiaTheme="minorEastAsia"/>
          <w:lang w:val="en-AU"/>
        </w:rPr>
        <w:t xml:space="preserve">relatively </w:t>
      </w:r>
      <w:r w:rsidR="00843F3B">
        <w:rPr>
          <w:rFonts w:eastAsiaTheme="minorEastAsia"/>
          <w:lang w:val="en-AU"/>
        </w:rPr>
        <w:t>stable period</w:t>
      </w:r>
      <w:r w:rsidR="009B2687">
        <w:rPr>
          <w:rFonts w:eastAsiaTheme="minorEastAsia"/>
          <w:lang w:val="en-AU"/>
        </w:rPr>
        <w:t xml:space="preserve"> that ended at </w:t>
      </w:r>
      <w:r>
        <w:rPr>
          <w:rFonts w:eastAsiaTheme="minorEastAsia"/>
          <w:lang w:val="en-AU"/>
        </w:rPr>
        <w:t xml:space="preserve">the turn of the millennium, </w:t>
      </w:r>
      <w:r w:rsidR="00B32071">
        <w:rPr>
          <w:rFonts w:eastAsiaTheme="minorEastAsia"/>
          <w:lang w:val="en-AU"/>
        </w:rPr>
        <w:t xml:space="preserve">music consumers </w:t>
      </w:r>
      <w:r>
        <w:rPr>
          <w:rFonts w:eastAsiaTheme="minorEastAsia"/>
          <w:lang w:val="en-AU"/>
        </w:rPr>
        <w:lastRenderedPageBreak/>
        <w:t>listen</w:t>
      </w:r>
      <w:r w:rsidR="00B32071">
        <w:rPr>
          <w:rFonts w:eastAsiaTheme="minorEastAsia"/>
          <w:lang w:val="en-AU"/>
        </w:rPr>
        <w:t>ed</w:t>
      </w:r>
      <w:r>
        <w:rPr>
          <w:rFonts w:eastAsiaTheme="minorEastAsia"/>
          <w:lang w:val="en-AU"/>
        </w:rPr>
        <w:t xml:space="preserve"> more to music performed by local acts, and the international music that </w:t>
      </w:r>
      <w:r w:rsidR="009B2687">
        <w:rPr>
          <w:rFonts w:eastAsiaTheme="minorEastAsia"/>
          <w:lang w:val="en-AU"/>
        </w:rPr>
        <w:t xml:space="preserve">nevertheless </w:t>
      </w:r>
      <w:r w:rsidR="000E7C62">
        <w:rPr>
          <w:rFonts w:eastAsiaTheme="minorEastAsia"/>
          <w:lang w:val="en-AU"/>
        </w:rPr>
        <w:t xml:space="preserve">was </w:t>
      </w:r>
      <w:r w:rsidR="00B32071">
        <w:rPr>
          <w:rFonts w:eastAsiaTheme="minorEastAsia"/>
          <w:lang w:val="en-AU"/>
        </w:rPr>
        <w:t>able to reach the charts</w:t>
      </w:r>
      <w:r>
        <w:rPr>
          <w:rFonts w:eastAsiaTheme="minorEastAsia"/>
          <w:lang w:val="en-AU"/>
        </w:rPr>
        <w:t xml:space="preserve"> came from a shrinking number of countries. </w:t>
      </w:r>
      <w:r w:rsidR="000B039C">
        <w:rPr>
          <w:rFonts w:eastAsiaTheme="minorEastAsia"/>
          <w:lang w:val="en-AU"/>
        </w:rPr>
        <w:t>A previous study (</w:t>
      </w:r>
      <w:r w:rsidR="00C64C39">
        <w:rPr>
          <w:rFonts w:eastAsiaTheme="minorEastAsia"/>
          <w:lang w:val="en-AU"/>
        </w:rPr>
        <w:t xml:space="preserve">Wikström, </w:t>
      </w:r>
      <w:r w:rsidR="00A11FE7">
        <w:rPr>
          <w:rFonts w:eastAsiaTheme="minorEastAsia"/>
          <w:lang w:val="en-AU"/>
        </w:rPr>
        <w:t>2013</w:t>
      </w:r>
      <w:r w:rsidR="00843F3B">
        <w:rPr>
          <w:rFonts w:eastAsiaTheme="minorEastAsia"/>
          <w:lang w:val="en-AU"/>
        </w:rPr>
        <w:t>) has</w:t>
      </w:r>
      <w:r>
        <w:rPr>
          <w:rFonts w:eastAsiaTheme="minorEastAsia"/>
          <w:lang w:val="en-AU"/>
        </w:rPr>
        <w:t xml:space="preserve"> examined this</w:t>
      </w:r>
      <w:r w:rsidR="000B039C">
        <w:rPr>
          <w:rFonts w:eastAsiaTheme="minorEastAsia"/>
          <w:lang w:val="en-AU"/>
        </w:rPr>
        <w:t xml:space="preserve"> </w:t>
      </w:r>
      <w:r>
        <w:rPr>
          <w:rFonts w:eastAsiaTheme="minorEastAsia"/>
          <w:lang w:val="en-AU"/>
        </w:rPr>
        <w:t>period</w:t>
      </w:r>
      <w:r w:rsidR="000B039C">
        <w:rPr>
          <w:rFonts w:eastAsiaTheme="minorEastAsia"/>
          <w:lang w:val="en-AU"/>
        </w:rPr>
        <w:t xml:space="preserve"> </w:t>
      </w:r>
      <w:r w:rsidR="00804409">
        <w:rPr>
          <w:rFonts w:eastAsiaTheme="minorEastAsia"/>
          <w:lang w:val="en-AU"/>
        </w:rPr>
        <w:t>(1999</w:t>
      </w:r>
      <w:r w:rsidR="000E7C62">
        <w:rPr>
          <w:rFonts w:eastAsiaTheme="minorEastAsia"/>
          <w:lang w:val="en-AU"/>
        </w:rPr>
        <w:t>–</w:t>
      </w:r>
      <w:r w:rsidR="00804409">
        <w:rPr>
          <w:rFonts w:eastAsiaTheme="minorEastAsia"/>
          <w:lang w:val="en-AU"/>
        </w:rPr>
        <w:t xml:space="preserve">2006) </w:t>
      </w:r>
      <w:r w:rsidR="000B039C">
        <w:rPr>
          <w:rFonts w:eastAsiaTheme="minorEastAsia"/>
          <w:lang w:val="en-AU"/>
        </w:rPr>
        <w:t>based on another type of data</w:t>
      </w:r>
      <w:r w:rsidR="009B2687">
        <w:rPr>
          <w:rFonts w:eastAsiaTheme="minorEastAsia"/>
          <w:lang w:val="en-AU"/>
        </w:rPr>
        <w:t xml:space="preserve">, and </w:t>
      </w:r>
      <w:r w:rsidR="00C64C39">
        <w:rPr>
          <w:rFonts w:eastAsiaTheme="minorEastAsia"/>
          <w:lang w:val="en-AU"/>
        </w:rPr>
        <w:t>show</w:t>
      </w:r>
      <w:r w:rsidR="009B2687">
        <w:rPr>
          <w:rFonts w:eastAsiaTheme="minorEastAsia"/>
          <w:lang w:val="en-AU"/>
        </w:rPr>
        <w:t>ed</w:t>
      </w:r>
      <w:r w:rsidR="000B039C">
        <w:rPr>
          <w:rFonts w:eastAsiaTheme="minorEastAsia"/>
          <w:lang w:val="en-AU"/>
        </w:rPr>
        <w:t xml:space="preserve"> that the increasing local repertoire share was a consequence of record companies’ changing marketing strategies.</w:t>
      </w:r>
      <w:r>
        <w:rPr>
          <w:rFonts w:eastAsiaTheme="minorEastAsia"/>
          <w:lang w:val="en-AU"/>
        </w:rPr>
        <w:t xml:space="preserve"> In 1999, the recorded music industry entered a period of rapidly declining sales (primarily caused by online piracy)</w:t>
      </w:r>
      <w:r w:rsidR="001153B3">
        <w:rPr>
          <w:rFonts w:eastAsiaTheme="minorEastAsia"/>
          <w:lang w:val="en-AU"/>
        </w:rPr>
        <w:t>, which</w:t>
      </w:r>
      <w:r w:rsidR="00A11FE7">
        <w:rPr>
          <w:rFonts w:eastAsiaTheme="minorEastAsia"/>
          <w:lang w:val="en-AU"/>
        </w:rPr>
        <w:t xml:space="preserve"> put </w:t>
      </w:r>
      <w:r>
        <w:rPr>
          <w:rFonts w:eastAsiaTheme="minorEastAsia"/>
          <w:lang w:val="en-AU"/>
        </w:rPr>
        <w:t xml:space="preserve">severe pressure on record companies’ financials and required </w:t>
      </w:r>
      <w:r w:rsidR="00843F3B">
        <w:rPr>
          <w:rFonts w:eastAsiaTheme="minorEastAsia"/>
          <w:lang w:val="en-AU"/>
        </w:rPr>
        <w:t>a number of music companies</w:t>
      </w:r>
      <w:r>
        <w:rPr>
          <w:rFonts w:eastAsiaTheme="minorEastAsia"/>
          <w:lang w:val="en-AU"/>
        </w:rPr>
        <w:t xml:space="preserve"> to reduce their marketing budgets and </w:t>
      </w:r>
      <w:r w:rsidR="00EB145D">
        <w:rPr>
          <w:rFonts w:eastAsiaTheme="minorEastAsia"/>
          <w:lang w:val="en-AU"/>
        </w:rPr>
        <w:t xml:space="preserve">to </w:t>
      </w:r>
      <w:r>
        <w:rPr>
          <w:rFonts w:eastAsiaTheme="minorEastAsia"/>
          <w:lang w:val="en-AU"/>
        </w:rPr>
        <w:t>increase their risk aversion</w:t>
      </w:r>
      <w:r w:rsidR="00EB145D">
        <w:rPr>
          <w:rFonts w:eastAsiaTheme="minorEastAsia"/>
          <w:lang w:val="en-AU"/>
        </w:rPr>
        <w:t xml:space="preserve"> (Wikström, 2009)</w:t>
      </w:r>
      <w:r w:rsidR="00843F3B">
        <w:rPr>
          <w:rFonts w:eastAsiaTheme="minorEastAsia"/>
          <w:lang w:val="en-AU"/>
        </w:rPr>
        <w:t xml:space="preserve">. An efficient </w:t>
      </w:r>
      <w:r>
        <w:rPr>
          <w:rFonts w:eastAsiaTheme="minorEastAsia"/>
          <w:lang w:val="en-AU"/>
        </w:rPr>
        <w:t>wa</w:t>
      </w:r>
      <w:r w:rsidR="00843F3B">
        <w:rPr>
          <w:rFonts w:eastAsiaTheme="minorEastAsia"/>
          <w:lang w:val="en-AU"/>
        </w:rPr>
        <w:t>y for a record company to reduce marketing budgets i</w:t>
      </w:r>
      <w:r>
        <w:rPr>
          <w:rFonts w:eastAsiaTheme="minorEastAsia"/>
          <w:lang w:val="en-AU"/>
        </w:rPr>
        <w:t xml:space="preserve">s to </w:t>
      </w:r>
      <w:r w:rsidR="00843F3B">
        <w:rPr>
          <w:rFonts w:eastAsiaTheme="minorEastAsia"/>
          <w:lang w:val="en-AU"/>
        </w:rPr>
        <w:t>focus on a limited num</w:t>
      </w:r>
      <w:r w:rsidR="00A11FE7">
        <w:rPr>
          <w:rFonts w:eastAsiaTheme="minorEastAsia"/>
          <w:lang w:val="en-AU"/>
        </w:rPr>
        <w:t>ber of countries and to reduce</w:t>
      </w:r>
      <w:r w:rsidR="00843F3B">
        <w:rPr>
          <w:rFonts w:eastAsiaTheme="minorEastAsia"/>
          <w:lang w:val="en-AU"/>
        </w:rPr>
        <w:t xml:space="preserve"> the number of artists that are given the support required to promote their music beyond their local markets</w:t>
      </w:r>
      <w:r>
        <w:rPr>
          <w:rFonts w:eastAsiaTheme="minorEastAsia"/>
          <w:lang w:val="en-AU"/>
        </w:rPr>
        <w:t xml:space="preserve">. </w:t>
      </w:r>
      <w:r w:rsidR="001153B3">
        <w:rPr>
          <w:rFonts w:eastAsiaTheme="minorEastAsia"/>
          <w:lang w:val="en-AU"/>
        </w:rPr>
        <w:t>As a consequence</w:t>
      </w:r>
      <w:r w:rsidR="00843F3B">
        <w:rPr>
          <w:rFonts w:eastAsiaTheme="minorEastAsia"/>
          <w:lang w:val="en-AU"/>
        </w:rPr>
        <w:t xml:space="preserve"> of this change</w:t>
      </w:r>
      <w:r w:rsidR="000E7C62">
        <w:rPr>
          <w:rFonts w:eastAsiaTheme="minorEastAsia"/>
          <w:lang w:val="en-AU"/>
        </w:rPr>
        <w:t>,</w:t>
      </w:r>
      <w:r w:rsidR="00843F3B">
        <w:rPr>
          <w:rFonts w:eastAsiaTheme="minorEastAsia"/>
          <w:lang w:val="en-AU"/>
        </w:rPr>
        <w:t xml:space="preserve"> </w:t>
      </w:r>
      <w:r w:rsidR="00EB145D">
        <w:rPr>
          <w:rFonts w:eastAsiaTheme="minorEastAsia"/>
          <w:lang w:val="en-AU"/>
        </w:rPr>
        <w:t xml:space="preserve">local artists’ </w:t>
      </w:r>
      <w:r w:rsidR="00984BD0">
        <w:rPr>
          <w:rFonts w:eastAsiaTheme="minorEastAsia"/>
          <w:lang w:val="en-AU"/>
        </w:rPr>
        <w:t xml:space="preserve">relative </w:t>
      </w:r>
      <w:r w:rsidR="00EB145D">
        <w:rPr>
          <w:rFonts w:eastAsiaTheme="minorEastAsia"/>
          <w:lang w:val="en-AU"/>
        </w:rPr>
        <w:t xml:space="preserve">commercial success </w:t>
      </w:r>
      <w:r w:rsidR="001153B3">
        <w:rPr>
          <w:rFonts w:eastAsiaTheme="minorEastAsia"/>
          <w:lang w:val="en-AU"/>
        </w:rPr>
        <w:t xml:space="preserve">increased </w:t>
      </w:r>
      <w:r w:rsidR="00EB145D">
        <w:rPr>
          <w:rFonts w:eastAsiaTheme="minorEastAsia"/>
          <w:lang w:val="en-AU"/>
        </w:rPr>
        <w:t xml:space="preserve">and the </w:t>
      </w:r>
      <w:r w:rsidR="006E33BA">
        <w:rPr>
          <w:rFonts w:eastAsiaTheme="minorEastAsia"/>
          <w:lang w:val="en-AU"/>
        </w:rPr>
        <w:t xml:space="preserve">number of countries </w:t>
      </w:r>
      <w:r w:rsidR="000E7C62">
        <w:rPr>
          <w:rFonts w:eastAsiaTheme="minorEastAsia"/>
          <w:lang w:val="en-AU"/>
        </w:rPr>
        <w:t xml:space="preserve">with the </w:t>
      </w:r>
      <w:r w:rsidR="00984BD0">
        <w:rPr>
          <w:rFonts w:eastAsiaTheme="minorEastAsia"/>
          <w:lang w:val="en-AU"/>
        </w:rPr>
        <w:t>capability</w:t>
      </w:r>
      <w:r w:rsidR="006E33BA">
        <w:rPr>
          <w:rFonts w:eastAsiaTheme="minorEastAsia"/>
          <w:lang w:val="en-AU"/>
        </w:rPr>
        <w:t xml:space="preserve"> to export acts internationally</w:t>
      </w:r>
      <w:r w:rsidR="001153B3">
        <w:rPr>
          <w:rFonts w:eastAsiaTheme="minorEastAsia"/>
          <w:lang w:val="en-AU"/>
        </w:rPr>
        <w:t xml:space="preserve"> decreased</w:t>
      </w:r>
      <w:r w:rsidR="00A11FE7">
        <w:rPr>
          <w:rFonts w:eastAsiaTheme="minorEastAsia"/>
          <w:lang w:val="en-AU"/>
        </w:rPr>
        <w:t xml:space="preserve"> (as illustrated by </w:t>
      </w:r>
      <w:r w:rsidR="000E7C62">
        <w:rPr>
          <w:rFonts w:eastAsiaTheme="minorEastAsia"/>
          <w:lang w:val="en-AU"/>
        </w:rPr>
        <w:t>F</w:t>
      </w:r>
      <w:r w:rsidR="00A11FE7">
        <w:rPr>
          <w:rFonts w:eastAsiaTheme="minorEastAsia"/>
          <w:lang w:val="en-AU"/>
        </w:rPr>
        <w:t xml:space="preserve">igures 1 </w:t>
      </w:r>
      <w:r w:rsidR="000E7C62">
        <w:rPr>
          <w:rFonts w:eastAsiaTheme="minorEastAsia"/>
          <w:lang w:val="en-AU"/>
        </w:rPr>
        <w:t>and</w:t>
      </w:r>
      <w:r w:rsidR="00A11FE7">
        <w:rPr>
          <w:rFonts w:eastAsiaTheme="minorEastAsia"/>
          <w:lang w:val="en-AU"/>
        </w:rPr>
        <w:t xml:space="preserve"> 2)</w:t>
      </w:r>
      <w:r w:rsidR="006E33BA">
        <w:rPr>
          <w:rFonts w:eastAsiaTheme="minorEastAsia"/>
          <w:lang w:val="en-AU"/>
        </w:rPr>
        <w:t>.</w:t>
      </w:r>
      <w:r>
        <w:rPr>
          <w:rFonts w:eastAsiaTheme="minorEastAsia"/>
          <w:lang w:val="en-AU"/>
        </w:rPr>
        <w:t xml:space="preserve"> </w:t>
      </w:r>
    </w:p>
    <w:p w14:paraId="7187F6BB" w14:textId="15A2E502" w:rsidR="00843F3B" w:rsidRDefault="006E33BA" w:rsidP="00926D57">
      <w:pPr>
        <w:spacing w:after="0"/>
        <w:ind w:firstLine="720"/>
        <w:rPr>
          <w:rFonts w:eastAsiaTheme="minorEastAsia"/>
          <w:lang w:val="en-AU"/>
        </w:rPr>
      </w:pPr>
      <w:r>
        <w:rPr>
          <w:rFonts w:eastAsiaTheme="minorEastAsia"/>
          <w:lang w:val="en-AU"/>
        </w:rPr>
        <w:t xml:space="preserve">From 2006 onwards, music listening patterns changed </w:t>
      </w:r>
      <w:r w:rsidR="001153B3">
        <w:rPr>
          <w:rFonts w:eastAsiaTheme="minorEastAsia"/>
          <w:lang w:val="en-AU"/>
        </w:rPr>
        <w:t xml:space="preserve">once </w:t>
      </w:r>
      <w:r>
        <w:rPr>
          <w:rFonts w:eastAsiaTheme="minorEastAsia"/>
          <w:lang w:val="en-AU"/>
        </w:rPr>
        <w:t xml:space="preserve">again. </w:t>
      </w:r>
      <w:r w:rsidR="001153B3">
        <w:rPr>
          <w:rFonts w:eastAsiaTheme="minorEastAsia"/>
          <w:lang w:val="en-AU"/>
        </w:rPr>
        <w:t>M</w:t>
      </w:r>
      <w:r w:rsidR="004339D5">
        <w:rPr>
          <w:rFonts w:eastAsiaTheme="minorEastAsia"/>
          <w:lang w:val="en-AU"/>
        </w:rPr>
        <w:t xml:space="preserve">usic listeners </w:t>
      </w:r>
      <w:r w:rsidR="00B40CA2">
        <w:rPr>
          <w:rFonts w:eastAsiaTheme="minorEastAsia"/>
          <w:lang w:val="en-AU"/>
        </w:rPr>
        <w:t xml:space="preserve">returned </w:t>
      </w:r>
      <w:r w:rsidR="004339D5">
        <w:rPr>
          <w:rFonts w:eastAsiaTheme="minorEastAsia"/>
          <w:lang w:val="en-AU"/>
        </w:rPr>
        <w:t>to music performed by international acts (</w:t>
      </w:r>
      <w:r w:rsidR="000E7C62">
        <w:rPr>
          <w:rFonts w:eastAsiaTheme="minorEastAsia"/>
          <w:lang w:val="en-AU"/>
        </w:rPr>
        <w:t>F</w:t>
      </w:r>
      <w:r w:rsidR="004339D5">
        <w:rPr>
          <w:rFonts w:eastAsiaTheme="minorEastAsia"/>
          <w:lang w:val="en-AU"/>
        </w:rPr>
        <w:t>igure 1) and</w:t>
      </w:r>
      <w:r w:rsidR="00B40CA2">
        <w:rPr>
          <w:rFonts w:eastAsiaTheme="minorEastAsia"/>
          <w:lang w:val="en-AU"/>
        </w:rPr>
        <w:t xml:space="preserve"> somewhat later</w:t>
      </w:r>
      <w:r w:rsidR="004339D5">
        <w:rPr>
          <w:rFonts w:eastAsiaTheme="minorEastAsia"/>
          <w:lang w:val="en-AU"/>
        </w:rPr>
        <w:t xml:space="preserve"> they </w:t>
      </w:r>
      <w:r w:rsidR="00B40CA2">
        <w:rPr>
          <w:rFonts w:eastAsiaTheme="minorEastAsia"/>
          <w:lang w:val="en-AU"/>
        </w:rPr>
        <w:t xml:space="preserve">also increasingly </w:t>
      </w:r>
      <w:r w:rsidR="004339D5">
        <w:rPr>
          <w:rFonts w:eastAsiaTheme="minorEastAsia"/>
          <w:lang w:val="en-AU"/>
        </w:rPr>
        <w:t>listened to international acts from a growing range of countries</w:t>
      </w:r>
      <w:r w:rsidR="00B40CA2">
        <w:rPr>
          <w:rFonts w:eastAsiaTheme="minorEastAsia"/>
          <w:lang w:val="en-AU"/>
        </w:rPr>
        <w:t xml:space="preserve"> (</w:t>
      </w:r>
      <w:r w:rsidR="000E7C62">
        <w:rPr>
          <w:rFonts w:eastAsiaTheme="minorEastAsia"/>
          <w:lang w:val="en-AU"/>
        </w:rPr>
        <w:t>F</w:t>
      </w:r>
      <w:r w:rsidR="00B40CA2">
        <w:rPr>
          <w:rFonts w:eastAsiaTheme="minorEastAsia"/>
          <w:lang w:val="en-AU"/>
        </w:rPr>
        <w:t>igure 2)</w:t>
      </w:r>
      <w:r w:rsidR="004339D5">
        <w:rPr>
          <w:rFonts w:eastAsiaTheme="minorEastAsia"/>
          <w:lang w:val="en-AU"/>
        </w:rPr>
        <w:t>.</w:t>
      </w:r>
      <w:r w:rsidR="00843F3B">
        <w:rPr>
          <w:rFonts w:eastAsiaTheme="minorEastAsia"/>
          <w:lang w:val="en-AU"/>
        </w:rPr>
        <w:t xml:space="preserve"> </w:t>
      </w:r>
      <w:r w:rsidR="004339D5">
        <w:rPr>
          <w:rFonts w:eastAsiaTheme="minorEastAsia"/>
          <w:lang w:val="en-AU"/>
        </w:rPr>
        <w:t>While the dynam</w:t>
      </w:r>
      <w:r w:rsidR="001153B3">
        <w:rPr>
          <w:rFonts w:eastAsiaTheme="minorEastAsia"/>
          <w:lang w:val="en-AU"/>
        </w:rPr>
        <w:t>ics during the first phase</w:t>
      </w:r>
      <w:r w:rsidR="004339D5">
        <w:rPr>
          <w:rFonts w:eastAsiaTheme="minorEastAsia"/>
          <w:lang w:val="en-AU"/>
        </w:rPr>
        <w:t xml:space="preserve"> </w:t>
      </w:r>
      <w:r w:rsidR="00843F3B">
        <w:rPr>
          <w:rFonts w:eastAsiaTheme="minorEastAsia"/>
          <w:lang w:val="en-AU"/>
        </w:rPr>
        <w:t>can</w:t>
      </w:r>
      <w:r w:rsidR="004339D5">
        <w:rPr>
          <w:rFonts w:eastAsiaTheme="minorEastAsia"/>
          <w:lang w:val="en-AU"/>
        </w:rPr>
        <w:t xml:space="preserve"> be explained by </w:t>
      </w:r>
      <w:r w:rsidR="00843F3B">
        <w:rPr>
          <w:rFonts w:eastAsiaTheme="minorEastAsia"/>
          <w:lang w:val="en-AU"/>
        </w:rPr>
        <w:t>music</w:t>
      </w:r>
      <w:r w:rsidR="004339D5">
        <w:rPr>
          <w:rFonts w:eastAsiaTheme="minorEastAsia"/>
          <w:lang w:val="en-AU"/>
        </w:rPr>
        <w:t xml:space="preserve"> companies’ changing marketing strategies, </w:t>
      </w:r>
      <w:r w:rsidR="00843F3B">
        <w:rPr>
          <w:rFonts w:eastAsiaTheme="minorEastAsia"/>
          <w:lang w:val="en-AU"/>
        </w:rPr>
        <w:t xml:space="preserve">one has </w:t>
      </w:r>
      <w:r w:rsidR="004339D5">
        <w:rPr>
          <w:rFonts w:eastAsiaTheme="minorEastAsia"/>
          <w:lang w:val="en-AU"/>
        </w:rPr>
        <w:t xml:space="preserve">to look elsewhere in order to explain the dynamics </w:t>
      </w:r>
      <w:r w:rsidR="00843F3B">
        <w:rPr>
          <w:rFonts w:eastAsiaTheme="minorEastAsia"/>
          <w:lang w:val="en-AU"/>
        </w:rPr>
        <w:t>during this period.</w:t>
      </w:r>
    </w:p>
    <w:p w14:paraId="2275E15F" w14:textId="25383C4B" w:rsidR="004339D5" w:rsidRDefault="00A11FE7" w:rsidP="00926D57">
      <w:pPr>
        <w:spacing w:after="0"/>
        <w:ind w:firstLine="720"/>
        <w:rPr>
          <w:rFonts w:eastAsiaTheme="minorEastAsia"/>
          <w:lang w:val="en-AU"/>
        </w:rPr>
      </w:pPr>
      <w:r>
        <w:rPr>
          <w:rFonts w:eastAsiaTheme="minorEastAsia"/>
          <w:lang w:val="en-AU"/>
        </w:rPr>
        <w:t>By</w:t>
      </w:r>
      <w:r w:rsidR="00A1487C">
        <w:rPr>
          <w:rFonts w:eastAsiaTheme="minorEastAsia"/>
          <w:lang w:val="en-AU"/>
        </w:rPr>
        <w:t xml:space="preserve"> 2006, the Internet and online piracy certainly </w:t>
      </w:r>
      <w:r w:rsidR="001153B3">
        <w:rPr>
          <w:rFonts w:eastAsiaTheme="minorEastAsia"/>
          <w:lang w:val="en-AU"/>
        </w:rPr>
        <w:t xml:space="preserve">had </w:t>
      </w:r>
      <w:r w:rsidR="00A1487C">
        <w:rPr>
          <w:rFonts w:eastAsiaTheme="minorEastAsia"/>
          <w:lang w:val="en-AU"/>
        </w:rPr>
        <w:t xml:space="preserve">affected the music industry </w:t>
      </w:r>
      <w:r w:rsidR="001153B3">
        <w:rPr>
          <w:rFonts w:eastAsiaTheme="minorEastAsia"/>
          <w:lang w:val="en-AU"/>
        </w:rPr>
        <w:t>during a number of years</w:t>
      </w:r>
      <w:r w:rsidR="00984BD0">
        <w:rPr>
          <w:rFonts w:eastAsiaTheme="minorEastAsia"/>
          <w:lang w:val="en-AU"/>
        </w:rPr>
        <w:t>. Revenues from recorded music sales</w:t>
      </w:r>
      <w:r w:rsidR="00A1487C">
        <w:rPr>
          <w:rFonts w:eastAsiaTheme="minorEastAsia"/>
          <w:lang w:val="en-AU"/>
        </w:rPr>
        <w:t xml:space="preserve"> </w:t>
      </w:r>
      <w:r w:rsidR="00984BD0">
        <w:rPr>
          <w:rFonts w:eastAsiaTheme="minorEastAsia"/>
          <w:lang w:val="en-AU"/>
        </w:rPr>
        <w:t xml:space="preserve">had shrunk </w:t>
      </w:r>
      <w:r w:rsidR="00A1487C">
        <w:rPr>
          <w:rFonts w:eastAsiaTheme="minorEastAsia"/>
          <w:lang w:val="en-AU"/>
        </w:rPr>
        <w:t>by more than 30%</w:t>
      </w:r>
      <w:r w:rsidR="00984BD0">
        <w:rPr>
          <w:rFonts w:eastAsiaTheme="minorEastAsia"/>
          <w:lang w:val="en-AU"/>
        </w:rPr>
        <w:t xml:space="preserve">, but </w:t>
      </w:r>
      <w:r w:rsidR="001153B3">
        <w:rPr>
          <w:rFonts w:eastAsiaTheme="minorEastAsia"/>
          <w:lang w:val="en-AU"/>
        </w:rPr>
        <w:t>while this</w:t>
      </w:r>
      <w:r w:rsidR="00984BD0">
        <w:rPr>
          <w:rFonts w:eastAsiaTheme="minorEastAsia"/>
          <w:lang w:val="en-AU"/>
        </w:rPr>
        <w:t xml:space="preserve"> in many </w:t>
      </w:r>
      <w:r w:rsidR="00843F3B">
        <w:rPr>
          <w:rFonts w:eastAsiaTheme="minorEastAsia"/>
          <w:lang w:val="en-AU"/>
        </w:rPr>
        <w:t>ways</w:t>
      </w:r>
      <w:r w:rsidR="00984BD0">
        <w:rPr>
          <w:rFonts w:eastAsiaTheme="minorEastAsia"/>
          <w:lang w:val="en-AU"/>
        </w:rPr>
        <w:t xml:space="preserve"> had </w:t>
      </w:r>
      <w:r>
        <w:rPr>
          <w:rFonts w:eastAsiaTheme="minorEastAsia"/>
          <w:lang w:val="en-AU"/>
        </w:rPr>
        <w:t xml:space="preserve">severe </w:t>
      </w:r>
      <w:r w:rsidR="00984BD0">
        <w:rPr>
          <w:rFonts w:eastAsiaTheme="minorEastAsia"/>
          <w:lang w:val="en-AU"/>
        </w:rPr>
        <w:t xml:space="preserve">consequences for </w:t>
      </w:r>
      <w:r w:rsidR="00843F3B">
        <w:rPr>
          <w:rFonts w:eastAsiaTheme="minorEastAsia"/>
          <w:lang w:val="en-AU"/>
        </w:rPr>
        <w:t xml:space="preserve">a number of </w:t>
      </w:r>
      <w:r>
        <w:rPr>
          <w:rFonts w:eastAsiaTheme="minorEastAsia"/>
          <w:lang w:val="en-AU"/>
        </w:rPr>
        <w:t>industry players</w:t>
      </w:r>
      <w:r w:rsidR="00984BD0">
        <w:rPr>
          <w:rFonts w:eastAsiaTheme="minorEastAsia"/>
          <w:lang w:val="en-AU"/>
        </w:rPr>
        <w:t>,</w:t>
      </w:r>
      <w:r w:rsidR="001153B3">
        <w:rPr>
          <w:rFonts w:eastAsiaTheme="minorEastAsia"/>
          <w:lang w:val="en-AU"/>
        </w:rPr>
        <w:t xml:space="preserve"> </w:t>
      </w:r>
      <w:r w:rsidR="00984BD0">
        <w:rPr>
          <w:rFonts w:eastAsiaTheme="minorEastAsia"/>
          <w:lang w:val="en-AU"/>
        </w:rPr>
        <w:t>the</w:t>
      </w:r>
      <w:r w:rsidR="001153B3">
        <w:rPr>
          <w:rFonts w:eastAsiaTheme="minorEastAsia"/>
          <w:lang w:val="en-AU"/>
        </w:rPr>
        <w:t xml:space="preserve"> fundamental structures for </w:t>
      </w:r>
      <w:r w:rsidR="00AA0807">
        <w:rPr>
          <w:lang w:val="en-AU"/>
        </w:rPr>
        <w:t>promotion and distribution of recorded music</w:t>
      </w:r>
      <w:r w:rsidR="001153B3">
        <w:rPr>
          <w:lang w:val="en-AU"/>
        </w:rPr>
        <w:t xml:space="preserve"> largely </w:t>
      </w:r>
      <w:r w:rsidR="00984BD0">
        <w:rPr>
          <w:lang w:val="en-AU"/>
        </w:rPr>
        <w:t>remained untouched</w:t>
      </w:r>
      <w:r w:rsidR="003E6A21">
        <w:rPr>
          <w:lang w:val="en-AU"/>
        </w:rPr>
        <w:t>:</w:t>
      </w:r>
    </w:p>
    <w:p w14:paraId="1C066970" w14:textId="0540CA31" w:rsidR="00A11FE7" w:rsidRDefault="00A11FE7" w:rsidP="006715D0">
      <w:pPr>
        <w:widowControl w:val="0"/>
        <w:suppressAutoHyphens/>
        <w:spacing w:after="0"/>
        <w:ind w:firstLine="720"/>
        <w:rPr>
          <w:rFonts w:eastAsiaTheme="minorEastAsia"/>
          <w:lang w:val="en-AU"/>
        </w:rPr>
      </w:pPr>
      <w:r>
        <w:rPr>
          <w:rFonts w:eastAsiaTheme="minorEastAsia"/>
          <w:lang w:val="en-AU"/>
        </w:rPr>
        <w:t>First, music promotion in 2006 still was confined to traditional channels, primarily broadcast radio and television, meaning that music promotion was still structured by national boundaries (</w:t>
      </w:r>
      <w:r w:rsidR="000E7C62">
        <w:rPr>
          <w:rFonts w:eastAsiaTheme="minorEastAsia"/>
          <w:lang w:val="en-AU"/>
        </w:rPr>
        <w:t xml:space="preserve">see, </w:t>
      </w:r>
      <w:r>
        <w:rPr>
          <w:rFonts w:eastAsiaTheme="minorEastAsia"/>
          <w:lang w:val="en-AU"/>
        </w:rPr>
        <w:t>e.g.</w:t>
      </w:r>
      <w:r w:rsidR="000E7C62">
        <w:rPr>
          <w:rFonts w:eastAsiaTheme="minorEastAsia"/>
          <w:lang w:val="en-AU"/>
        </w:rPr>
        <w:t>,</w:t>
      </w:r>
      <w:r>
        <w:rPr>
          <w:rFonts w:eastAsiaTheme="minorEastAsia"/>
          <w:lang w:val="en-AU"/>
        </w:rPr>
        <w:t xml:space="preserve"> Wikström, 2009). Almost a decade later, in 2014, Facebook and particularly YouTube ha</w:t>
      </w:r>
      <w:r w:rsidR="000E7C62">
        <w:rPr>
          <w:rFonts w:eastAsiaTheme="minorEastAsia"/>
          <w:lang w:val="en-AU"/>
        </w:rPr>
        <w:t>ve</w:t>
      </w:r>
      <w:r>
        <w:rPr>
          <w:rFonts w:eastAsiaTheme="minorEastAsia"/>
          <w:lang w:val="en-AU"/>
        </w:rPr>
        <w:t xml:space="preserve"> signi</w:t>
      </w:r>
      <w:r>
        <w:rPr>
          <w:rFonts w:eastAsiaTheme="minorEastAsia"/>
          <w:lang w:val="en-AU"/>
        </w:rPr>
        <w:softHyphen/>
        <w:t>ficantly weakened these structures and ha</w:t>
      </w:r>
      <w:r w:rsidR="000E7C62">
        <w:rPr>
          <w:rFonts w:eastAsiaTheme="minorEastAsia"/>
          <w:lang w:val="en-AU"/>
        </w:rPr>
        <w:t>ve</w:t>
      </w:r>
      <w:r>
        <w:rPr>
          <w:rFonts w:eastAsiaTheme="minorEastAsia"/>
          <w:lang w:val="en-AU"/>
        </w:rPr>
        <w:t xml:space="preserve"> emerged as the most important tastemaker</w:t>
      </w:r>
      <w:r w:rsidR="000E7C62">
        <w:rPr>
          <w:rFonts w:eastAsiaTheme="minorEastAsia"/>
          <w:lang w:val="en-AU"/>
        </w:rPr>
        <w:t>s</w:t>
      </w:r>
      <w:r>
        <w:rPr>
          <w:rFonts w:eastAsiaTheme="minorEastAsia"/>
          <w:lang w:val="en-AU"/>
        </w:rPr>
        <w:t xml:space="preserve"> in the music industry</w:t>
      </w:r>
      <w:r w:rsidR="000E7C62">
        <w:rPr>
          <w:rFonts w:eastAsiaTheme="minorEastAsia"/>
          <w:lang w:val="en-AU"/>
        </w:rPr>
        <w:t>—</w:t>
      </w:r>
      <w:r>
        <w:rPr>
          <w:rFonts w:eastAsiaTheme="minorEastAsia"/>
          <w:lang w:val="en-AU"/>
        </w:rPr>
        <w:t>especially among younger music listeners (</w:t>
      </w:r>
      <w:r w:rsidR="000E7C62">
        <w:rPr>
          <w:rFonts w:eastAsiaTheme="minorEastAsia"/>
          <w:lang w:val="en-AU"/>
        </w:rPr>
        <w:t xml:space="preserve">see, </w:t>
      </w:r>
      <w:r>
        <w:rPr>
          <w:rFonts w:eastAsiaTheme="minorEastAsia"/>
          <w:lang w:val="en-AU"/>
        </w:rPr>
        <w:t>e.g.</w:t>
      </w:r>
      <w:r w:rsidR="000E7C62">
        <w:rPr>
          <w:rFonts w:eastAsiaTheme="minorEastAsia"/>
          <w:lang w:val="en-AU"/>
        </w:rPr>
        <w:t>,</w:t>
      </w:r>
      <w:r>
        <w:rPr>
          <w:rFonts w:eastAsiaTheme="minorEastAsia"/>
          <w:lang w:val="en-AU"/>
        </w:rPr>
        <w:t xml:space="preserve"> </w:t>
      </w:r>
      <w:r w:rsidRPr="00B718AF">
        <w:rPr>
          <w:lang w:val="en-AU"/>
        </w:rPr>
        <w:t>Chmielewski</w:t>
      </w:r>
      <w:r>
        <w:rPr>
          <w:lang w:val="en-AU"/>
        </w:rPr>
        <w:t>, 2013</w:t>
      </w:r>
      <w:r>
        <w:rPr>
          <w:rFonts w:eastAsiaTheme="minorEastAsia"/>
          <w:lang w:val="en-AU"/>
        </w:rPr>
        <w:t>). This is a fundamental transformation of how music is promoted by producers and discovered by fans. National boundaries certainly still matter, but to a much lesser extent than in the past, and the cost of promoting an act to an international market has diminished.</w:t>
      </w:r>
    </w:p>
    <w:p w14:paraId="6A795A21" w14:textId="4F02F6FF" w:rsidR="00A11FE7" w:rsidRDefault="00A11FE7" w:rsidP="00926D57">
      <w:pPr>
        <w:spacing w:after="0"/>
        <w:ind w:firstLine="720"/>
        <w:rPr>
          <w:rFonts w:eastAsiaTheme="minorEastAsia"/>
          <w:lang w:val="en-AU"/>
        </w:rPr>
      </w:pPr>
      <w:r>
        <w:rPr>
          <w:rFonts w:eastAsiaTheme="minorEastAsia"/>
          <w:lang w:val="en-AU"/>
        </w:rPr>
        <w:t>Second, even though there were a number of legal online music retailers available for music consumers in 2006 (e.g.</w:t>
      </w:r>
      <w:r w:rsidR="000E7C62">
        <w:rPr>
          <w:rFonts w:eastAsiaTheme="minorEastAsia"/>
          <w:lang w:val="en-AU"/>
        </w:rPr>
        <w:t xml:space="preserve">, </w:t>
      </w:r>
      <w:r>
        <w:rPr>
          <w:rFonts w:eastAsiaTheme="minorEastAsia"/>
          <w:lang w:val="en-AU"/>
        </w:rPr>
        <w:t>Apple</w:t>
      </w:r>
      <w:r w:rsidR="000E7C62">
        <w:rPr>
          <w:rFonts w:eastAsiaTheme="minorEastAsia"/>
          <w:lang w:val="en-AU"/>
        </w:rPr>
        <w:t>’s</w:t>
      </w:r>
      <w:r>
        <w:rPr>
          <w:rFonts w:eastAsiaTheme="minorEastAsia"/>
          <w:lang w:val="en-AU"/>
        </w:rPr>
        <w:t xml:space="preserve"> iTunes), the recorded music market was still dominated by physical distribution (IFPI, 2007)</w:t>
      </w:r>
      <w:r w:rsidR="000E7C62">
        <w:rPr>
          <w:rFonts w:eastAsiaTheme="minorEastAsia"/>
          <w:lang w:val="en-AU"/>
        </w:rPr>
        <w:t xml:space="preserve">, which </w:t>
      </w:r>
      <w:r>
        <w:rPr>
          <w:rFonts w:eastAsiaTheme="minorEastAsia"/>
          <w:lang w:val="en-AU"/>
        </w:rPr>
        <w:t>means that there were still significant barriers that made it difficult for a music listener to discover new music without significant costs. In 2014, music services such as SoundCloud, YouTube, Spotify, Deezer, etc</w:t>
      </w:r>
      <w:r w:rsidR="000E7C62">
        <w:rPr>
          <w:rFonts w:eastAsiaTheme="minorEastAsia"/>
          <w:lang w:val="en-AU"/>
        </w:rPr>
        <w:t>.</w:t>
      </w:r>
      <w:r>
        <w:rPr>
          <w:rFonts w:eastAsiaTheme="minorEastAsia"/>
          <w:lang w:val="en-AU"/>
        </w:rPr>
        <w:t>, make music instantly available and allow music listeners to make treks into musical territories that are far away from their own musical backyard. More than half of the global recorded music market is online</w:t>
      </w:r>
      <w:r w:rsidR="000E7C62">
        <w:rPr>
          <w:rFonts w:eastAsiaTheme="minorEastAsia"/>
          <w:lang w:val="en-AU"/>
        </w:rPr>
        <w:t>,</w:t>
      </w:r>
      <w:r>
        <w:rPr>
          <w:rFonts w:eastAsiaTheme="minorEastAsia"/>
          <w:lang w:val="en-AU"/>
        </w:rPr>
        <w:t xml:space="preserve"> and in some of the countries in this study (such as Norway and Sweden), the digital market share is closer to 80% (</w:t>
      </w:r>
      <w:r w:rsidR="000E7C62">
        <w:rPr>
          <w:rFonts w:eastAsiaTheme="minorEastAsia"/>
          <w:lang w:val="en-AU"/>
        </w:rPr>
        <w:t>F</w:t>
      </w:r>
      <w:r>
        <w:rPr>
          <w:rFonts w:eastAsiaTheme="minorEastAsia"/>
          <w:lang w:val="en-AU"/>
        </w:rPr>
        <w:t>igure 3).</w:t>
      </w:r>
    </w:p>
    <w:p w14:paraId="2B0F6C4E" w14:textId="77777777" w:rsidR="00B32071" w:rsidRPr="00905B6D" w:rsidRDefault="00B32071" w:rsidP="00926D57">
      <w:pPr>
        <w:spacing w:after="0" w:line="240" w:lineRule="auto"/>
        <w:jc w:val="center"/>
        <w:rPr>
          <w:lang w:val="en-AU"/>
        </w:rPr>
      </w:pPr>
      <w:r>
        <w:rPr>
          <w:noProof/>
        </w:rPr>
        <w:lastRenderedPageBreak/>
        <w:drawing>
          <wp:anchor distT="0" distB="0" distL="114300" distR="114300" simplePos="0" relativeHeight="251660288" behindDoc="0" locked="0" layoutInCell="1" allowOverlap="1" wp14:anchorId="0CD3C52E" wp14:editId="3F6D68A1">
            <wp:simplePos x="0" y="0"/>
            <wp:positionH relativeFrom="column">
              <wp:posOffset>771525</wp:posOffset>
            </wp:positionH>
            <wp:positionV relativeFrom="paragraph">
              <wp:posOffset>0</wp:posOffset>
            </wp:positionV>
            <wp:extent cx="4641215" cy="2956560"/>
            <wp:effectExtent l="0" t="0" r="6985" b="0"/>
            <wp:wrapTopAndBottom/>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78DF02BF" w14:textId="2D2BF38E" w:rsidR="00926D57" w:rsidRDefault="00DE590A" w:rsidP="00926D57">
      <w:pPr>
        <w:spacing w:after="0"/>
        <w:rPr>
          <w:i/>
          <w:sz w:val="16"/>
          <w:szCs w:val="16"/>
          <w:lang w:val="en-AU"/>
        </w:rPr>
      </w:pPr>
      <w:r>
        <w:rPr>
          <w:i/>
          <w:sz w:val="16"/>
          <w:szCs w:val="16"/>
          <w:lang w:val="en-AU"/>
        </w:rPr>
        <w:pict w14:anchorId="1FE4F231">
          <v:rect id="_x0000_i1027" style="width:0;height:1.5pt" o:hralign="center" o:hrstd="t" o:hr="t" fillcolor="#a0a0a0" stroked="f"/>
        </w:pict>
      </w:r>
    </w:p>
    <w:p w14:paraId="09BAB04D" w14:textId="00E947B4" w:rsidR="00B32071" w:rsidRPr="006715D0" w:rsidRDefault="00B32071" w:rsidP="006715D0">
      <w:pPr>
        <w:spacing w:after="0"/>
        <w:rPr>
          <w:lang w:val="en-AU"/>
        </w:rPr>
      </w:pPr>
      <w:r w:rsidRPr="006715D0">
        <w:rPr>
          <w:lang w:val="en-AU"/>
        </w:rPr>
        <w:t>Figure 3</w:t>
      </w:r>
      <w:r w:rsidR="000E7C62">
        <w:rPr>
          <w:lang w:val="en-AU"/>
        </w:rPr>
        <w:t>.</w:t>
      </w:r>
      <w:r w:rsidRPr="006715D0">
        <w:rPr>
          <w:lang w:val="en-AU"/>
        </w:rPr>
        <w:t xml:space="preserve"> Digital </w:t>
      </w:r>
      <w:r w:rsidR="000E7C62">
        <w:rPr>
          <w:lang w:val="en-AU"/>
        </w:rPr>
        <w:t>m</w:t>
      </w:r>
      <w:r w:rsidRPr="006715D0">
        <w:rPr>
          <w:lang w:val="en-AU"/>
        </w:rPr>
        <w:t xml:space="preserve">arket </w:t>
      </w:r>
      <w:r w:rsidR="000E7C62">
        <w:rPr>
          <w:lang w:val="en-AU"/>
        </w:rPr>
        <w:t>s</w:t>
      </w:r>
      <w:r w:rsidRPr="006715D0">
        <w:rPr>
          <w:lang w:val="en-AU"/>
        </w:rPr>
        <w:t>hare in the seven countries.</w:t>
      </w:r>
    </w:p>
    <w:p w14:paraId="1E79400A" w14:textId="77777777" w:rsidR="00926D57" w:rsidRDefault="00926D57" w:rsidP="00926D57">
      <w:pPr>
        <w:spacing w:after="0"/>
        <w:ind w:firstLine="720"/>
        <w:rPr>
          <w:lang w:val="en-AU"/>
        </w:rPr>
      </w:pPr>
    </w:p>
    <w:p w14:paraId="23F47881" w14:textId="56934DC7" w:rsidR="00CD60BB" w:rsidRDefault="00032FD6" w:rsidP="00926D57">
      <w:pPr>
        <w:spacing w:after="0"/>
        <w:ind w:firstLine="720"/>
        <w:rPr>
          <w:lang w:val="en-AU"/>
        </w:rPr>
      </w:pPr>
      <w:r>
        <w:rPr>
          <w:lang w:val="en-AU"/>
        </w:rPr>
        <w:t>The paper combines</w:t>
      </w:r>
      <w:r w:rsidR="00D00C75">
        <w:rPr>
          <w:lang w:val="en-AU"/>
        </w:rPr>
        <w:t xml:space="preserve"> the reasoning above with theories of cultural globalization (e.g.</w:t>
      </w:r>
      <w:r w:rsidR="000E7C62">
        <w:rPr>
          <w:lang w:val="en-AU"/>
        </w:rPr>
        <w:t>,</w:t>
      </w:r>
      <w:r w:rsidR="00D00C75">
        <w:rPr>
          <w:lang w:val="en-AU"/>
        </w:rPr>
        <w:t xml:space="preserve"> Kraidy, 2005; Mirrlees, 2013) and theories o</w:t>
      </w:r>
      <w:r w:rsidR="00BF4425">
        <w:rPr>
          <w:lang w:val="en-AU"/>
        </w:rPr>
        <w:t>f</w:t>
      </w:r>
      <w:r w:rsidR="00D00C75">
        <w:rPr>
          <w:lang w:val="en-AU"/>
        </w:rPr>
        <w:t xml:space="preserve"> cultural distribution via a low-friction network-based medium such as the Internet (e.g.</w:t>
      </w:r>
      <w:r w:rsidR="006715D0">
        <w:rPr>
          <w:lang w:val="en-AU"/>
        </w:rPr>
        <w:t>,</w:t>
      </w:r>
      <w:r w:rsidR="00D00C75">
        <w:rPr>
          <w:lang w:val="en-AU"/>
        </w:rPr>
        <w:t xml:space="preserve"> Elberse, 2008; </w:t>
      </w:r>
      <w:r w:rsidR="00D00C75" w:rsidRPr="00444B3E">
        <w:rPr>
          <w:lang w:val="en-AU"/>
        </w:rPr>
        <w:t>Salgan</w:t>
      </w:r>
      <w:r w:rsidR="00D00C75">
        <w:rPr>
          <w:lang w:val="en-AU"/>
        </w:rPr>
        <w:t>ik</w:t>
      </w:r>
      <w:r>
        <w:rPr>
          <w:lang w:val="en-AU"/>
        </w:rPr>
        <w:t xml:space="preserve"> </w:t>
      </w:r>
      <w:r w:rsidR="006715D0">
        <w:rPr>
          <w:lang w:val="en-AU"/>
        </w:rPr>
        <w:t>and</w:t>
      </w:r>
      <w:r>
        <w:rPr>
          <w:lang w:val="en-AU"/>
        </w:rPr>
        <w:t xml:space="preserve"> Watts, 2009). The paper is able to provide empirical evidence that is able to confirm the</w:t>
      </w:r>
      <w:r w:rsidR="00A15461">
        <w:rPr>
          <w:lang w:val="en-AU"/>
        </w:rPr>
        <w:t xml:space="preserve"> observations </w:t>
      </w:r>
      <w:r>
        <w:rPr>
          <w:lang w:val="en-AU"/>
        </w:rPr>
        <w:t>about declining local music repertoire sales a</w:t>
      </w:r>
      <w:r w:rsidR="00CD60BB">
        <w:rPr>
          <w:lang w:val="en-AU"/>
        </w:rPr>
        <w:t xml:space="preserve">s promotion and distribution of music move online. </w:t>
      </w:r>
      <w:r w:rsidR="00BF4425">
        <w:rPr>
          <w:lang w:val="en-AU"/>
        </w:rPr>
        <w:t>T</w:t>
      </w:r>
      <w:r>
        <w:rPr>
          <w:lang w:val="en-AU"/>
        </w:rPr>
        <w:t>he paper also shows that</w:t>
      </w:r>
      <w:r w:rsidR="006715D0">
        <w:rPr>
          <w:lang w:val="en-AU"/>
        </w:rPr>
        <w:t>,</w:t>
      </w:r>
      <w:r>
        <w:rPr>
          <w:lang w:val="en-AU"/>
        </w:rPr>
        <w:t xml:space="preserve"> </w:t>
      </w:r>
      <w:r w:rsidR="00CD60BB">
        <w:rPr>
          <w:lang w:val="en-AU"/>
        </w:rPr>
        <w:t>at the same time this happens</w:t>
      </w:r>
      <w:r w:rsidR="006715D0">
        <w:rPr>
          <w:lang w:val="en-AU"/>
        </w:rPr>
        <w:t>,</w:t>
      </w:r>
      <w:r w:rsidR="00CD60BB">
        <w:rPr>
          <w:lang w:val="en-AU"/>
        </w:rPr>
        <w:t xml:space="preserve"> international repertoire concentration decline</w:t>
      </w:r>
      <w:r w:rsidR="00BF4425">
        <w:rPr>
          <w:lang w:val="en-AU"/>
        </w:rPr>
        <w:t>s as well. In other words,</w:t>
      </w:r>
      <w:r>
        <w:rPr>
          <w:lang w:val="en-AU"/>
        </w:rPr>
        <w:t xml:space="preserve"> </w:t>
      </w:r>
      <w:r w:rsidR="00CD60BB">
        <w:rPr>
          <w:lang w:val="en-AU"/>
        </w:rPr>
        <w:t>the music industry</w:t>
      </w:r>
      <w:r>
        <w:rPr>
          <w:lang w:val="en-AU"/>
        </w:rPr>
        <w:t xml:space="preserve"> has</w:t>
      </w:r>
      <w:r w:rsidR="00CD60BB">
        <w:rPr>
          <w:lang w:val="en-AU"/>
        </w:rPr>
        <w:t xml:space="preserve"> b</w:t>
      </w:r>
      <w:r>
        <w:rPr>
          <w:lang w:val="en-AU"/>
        </w:rPr>
        <w:t>ecome</w:t>
      </w:r>
      <w:r w:rsidR="00CD60BB">
        <w:rPr>
          <w:lang w:val="en-AU"/>
        </w:rPr>
        <w:t xml:space="preserve"> increasingly international in its character</w:t>
      </w:r>
      <w:r w:rsidR="00BF4425">
        <w:rPr>
          <w:lang w:val="en-AU"/>
        </w:rPr>
        <w:t>:</w:t>
      </w:r>
      <w:r w:rsidR="00CD60BB">
        <w:rPr>
          <w:lang w:val="en-AU"/>
        </w:rPr>
        <w:t xml:space="preserve"> </w:t>
      </w:r>
      <w:r>
        <w:rPr>
          <w:lang w:val="en-AU"/>
        </w:rPr>
        <w:t>L</w:t>
      </w:r>
      <w:r w:rsidR="00CD60BB">
        <w:rPr>
          <w:lang w:val="en-AU"/>
        </w:rPr>
        <w:t xml:space="preserve">ocal audiences may listen less to local acts, </w:t>
      </w:r>
      <w:r>
        <w:rPr>
          <w:lang w:val="en-AU"/>
        </w:rPr>
        <w:t xml:space="preserve">but </w:t>
      </w:r>
      <w:r w:rsidR="00BF4425">
        <w:rPr>
          <w:lang w:val="en-AU"/>
        </w:rPr>
        <w:t xml:space="preserve">overseas </w:t>
      </w:r>
      <w:r w:rsidR="00CD60BB">
        <w:rPr>
          <w:lang w:val="en-AU"/>
        </w:rPr>
        <w:t>opportunities open up for acts from countries that previously were unable to launch their music in</w:t>
      </w:r>
      <w:r w:rsidR="00BF4425">
        <w:rPr>
          <w:lang w:val="en-AU"/>
        </w:rPr>
        <w:t>ternationally</w:t>
      </w:r>
      <w:r w:rsidR="00CD60BB">
        <w:rPr>
          <w:lang w:val="en-AU"/>
        </w:rPr>
        <w:t>.</w:t>
      </w:r>
    </w:p>
    <w:p w14:paraId="69233489" w14:textId="77777777" w:rsidR="006715D0" w:rsidRDefault="006715D0" w:rsidP="00926D57">
      <w:pPr>
        <w:pStyle w:val="Heading1"/>
        <w:numPr>
          <w:ilvl w:val="0"/>
          <w:numId w:val="0"/>
        </w:numPr>
        <w:spacing w:before="0" w:after="0"/>
        <w:rPr>
          <w:lang w:val="en-AU"/>
        </w:rPr>
      </w:pPr>
    </w:p>
    <w:p w14:paraId="5B1B53E1" w14:textId="5B2C013B" w:rsidR="006B4A34" w:rsidRPr="00905B6D" w:rsidRDefault="006B4A34" w:rsidP="00926D57">
      <w:pPr>
        <w:pStyle w:val="Heading1"/>
        <w:numPr>
          <w:ilvl w:val="0"/>
          <w:numId w:val="0"/>
        </w:numPr>
        <w:spacing w:before="0" w:after="0"/>
        <w:rPr>
          <w:lang w:val="en-AU"/>
        </w:rPr>
      </w:pPr>
      <w:r w:rsidRPr="00905B6D">
        <w:rPr>
          <w:lang w:val="en-AU"/>
        </w:rPr>
        <w:t>References</w:t>
      </w:r>
    </w:p>
    <w:p w14:paraId="3E7DBC9D" w14:textId="5D259559" w:rsidR="00B718AF" w:rsidRPr="00905B6D" w:rsidRDefault="00B718AF" w:rsidP="00926D57">
      <w:pPr>
        <w:spacing w:after="0"/>
        <w:rPr>
          <w:lang w:val="en-AU"/>
        </w:rPr>
      </w:pPr>
      <w:r w:rsidRPr="006715D0">
        <w:rPr>
          <w:b/>
          <w:lang w:val="en-AU"/>
        </w:rPr>
        <w:t>Chmielewski, D.</w:t>
      </w:r>
      <w:r w:rsidR="006715D0" w:rsidRPr="006715D0">
        <w:rPr>
          <w:b/>
          <w:lang w:val="en-AU"/>
        </w:rPr>
        <w:t xml:space="preserve"> </w:t>
      </w:r>
      <w:r w:rsidRPr="006715D0">
        <w:rPr>
          <w:b/>
          <w:lang w:val="en-AU"/>
        </w:rPr>
        <w:t>C.</w:t>
      </w:r>
      <w:r>
        <w:rPr>
          <w:lang w:val="en-AU"/>
        </w:rPr>
        <w:t xml:space="preserve"> (2013). </w:t>
      </w:r>
      <w:r w:rsidRPr="00B718AF">
        <w:rPr>
          <w:lang w:val="en-AU"/>
        </w:rPr>
        <w:t xml:space="preserve">How YouTube and </w:t>
      </w:r>
      <w:r w:rsidR="006715D0">
        <w:rPr>
          <w:lang w:val="en-AU"/>
        </w:rPr>
        <w:t>M</w:t>
      </w:r>
      <w:r w:rsidRPr="00B718AF">
        <w:rPr>
          <w:lang w:val="en-AU"/>
        </w:rPr>
        <w:t xml:space="preserve">usic </w:t>
      </w:r>
      <w:r w:rsidR="006715D0">
        <w:rPr>
          <w:lang w:val="en-AU"/>
        </w:rPr>
        <w:t>C</w:t>
      </w:r>
      <w:r w:rsidRPr="00B718AF">
        <w:rPr>
          <w:lang w:val="en-AU"/>
        </w:rPr>
        <w:t xml:space="preserve">ompanies </w:t>
      </w:r>
      <w:r w:rsidR="006715D0">
        <w:rPr>
          <w:lang w:val="en-AU"/>
        </w:rPr>
        <w:t>R</w:t>
      </w:r>
      <w:r w:rsidRPr="00B718AF">
        <w:rPr>
          <w:lang w:val="en-AU"/>
        </w:rPr>
        <w:t>each Generation C</w:t>
      </w:r>
      <w:r>
        <w:rPr>
          <w:lang w:val="en-AU"/>
        </w:rPr>
        <w:t xml:space="preserve">. </w:t>
      </w:r>
      <w:r>
        <w:rPr>
          <w:i/>
          <w:iCs/>
          <w:lang w:val="en-AU"/>
        </w:rPr>
        <w:t>Los Angeles Times</w:t>
      </w:r>
      <w:r w:rsidR="006715D0">
        <w:rPr>
          <w:iCs/>
          <w:lang w:val="en-AU"/>
        </w:rPr>
        <w:t xml:space="preserve">, 15 October, </w:t>
      </w:r>
      <w:r w:rsidRPr="00B718AF">
        <w:rPr>
          <w:lang w:val="en-AU"/>
        </w:rPr>
        <w:t>http://articles.latimes.com/2013/oct/15/business/la-fi-ct-youtube-mraz-20131009</w:t>
      </w:r>
      <w:r>
        <w:rPr>
          <w:lang w:val="en-AU"/>
        </w:rPr>
        <w:t>.</w:t>
      </w:r>
    </w:p>
    <w:p w14:paraId="2DE7051C" w14:textId="1C21F904" w:rsidR="00D00C75" w:rsidRPr="00AA481B" w:rsidRDefault="00D00C75" w:rsidP="00926D57">
      <w:pPr>
        <w:spacing w:after="0"/>
        <w:rPr>
          <w:lang w:val="en-AU"/>
        </w:rPr>
      </w:pPr>
      <w:r w:rsidRPr="006715D0">
        <w:rPr>
          <w:b/>
          <w:lang w:val="en-AU"/>
        </w:rPr>
        <w:t>Elberse, A.</w:t>
      </w:r>
      <w:r w:rsidRPr="00AA481B">
        <w:rPr>
          <w:lang w:val="en-AU"/>
        </w:rPr>
        <w:t xml:space="preserve"> (2008). Should </w:t>
      </w:r>
      <w:r w:rsidR="006715D0">
        <w:rPr>
          <w:lang w:val="en-AU"/>
        </w:rPr>
        <w:t>Y</w:t>
      </w:r>
      <w:r w:rsidRPr="00AA481B">
        <w:rPr>
          <w:lang w:val="en-AU"/>
        </w:rPr>
        <w:t xml:space="preserve">ou </w:t>
      </w:r>
      <w:r w:rsidR="006715D0">
        <w:rPr>
          <w:lang w:val="en-AU"/>
        </w:rPr>
        <w:t>I</w:t>
      </w:r>
      <w:r w:rsidRPr="00AA481B">
        <w:rPr>
          <w:lang w:val="en-AU"/>
        </w:rPr>
        <w:t xml:space="preserve">nvest in the </w:t>
      </w:r>
      <w:r w:rsidR="006715D0">
        <w:rPr>
          <w:lang w:val="en-AU"/>
        </w:rPr>
        <w:t>L</w:t>
      </w:r>
      <w:r w:rsidRPr="00AA481B">
        <w:rPr>
          <w:lang w:val="en-AU"/>
        </w:rPr>
        <w:t xml:space="preserve">ong </w:t>
      </w:r>
      <w:r w:rsidR="006715D0">
        <w:rPr>
          <w:lang w:val="en-AU"/>
        </w:rPr>
        <w:t>T</w:t>
      </w:r>
      <w:r w:rsidRPr="00AA481B">
        <w:rPr>
          <w:lang w:val="en-AU"/>
        </w:rPr>
        <w:t xml:space="preserve">ail? </w:t>
      </w:r>
      <w:r w:rsidRPr="00AA481B">
        <w:rPr>
          <w:i/>
          <w:iCs/>
          <w:lang w:val="en-AU"/>
        </w:rPr>
        <w:t>Harvard Business Review</w:t>
      </w:r>
      <w:r w:rsidR="006715D0">
        <w:rPr>
          <w:i/>
          <w:iCs/>
          <w:lang w:val="en-AU"/>
        </w:rPr>
        <w:t>,</w:t>
      </w:r>
      <w:r w:rsidRPr="00AA481B">
        <w:rPr>
          <w:lang w:val="en-AU"/>
        </w:rPr>
        <w:t xml:space="preserve"> </w:t>
      </w:r>
      <w:r w:rsidRPr="006715D0">
        <w:rPr>
          <w:b/>
          <w:iCs/>
          <w:lang w:val="en-AU"/>
        </w:rPr>
        <w:t>86</w:t>
      </w:r>
      <w:r w:rsidRPr="00AA481B">
        <w:rPr>
          <w:lang w:val="en-AU"/>
        </w:rPr>
        <w:t>(7/8)</w:t>
      </w:r>
      <w:r w:rsidR="006715D0">
        <w:rPr>
          <w:lang w:val="en-AU"/>
        </w:rPr>
        <w:t>:</w:t>
      </w:r>
      <w:r w:rsidRPr="00AA481B">
        <w:rPr>
          <w:lang w:val="en-AU"/>
        </w:rPr>
        <w:t xml:space="preserve"> 88–96.</w:t>
      </w:r>
    </w:p>
    <w:p w14:paraId="14C3D325" w14:textId="2104C57E" w:rsidR="00035222" w:rsidRPr="00AA481B" w:rsidRDefault="00AA481B" w:rsidP="00926D57">
      <w:pPr>
        <w:spacing w:after="0"/>
        <w:rPr>
          <w:lang w:val="en-AU"/>
        </w:rPr>
      </w:pPr>
      <w:r w:rsidRPr="006715D0">
        <w:rPr>
          <w:b/>
          <w:lang w:val="en-AU"/>
        </w:rPr>
        <w:t>IFPI</w:t>
      </w:r>
      <w:r w:rsidR="006715D0" w:rsidRPr="006715D0">
        <w:rPr>
          <w:b/>
          <w:lang w:val="en-AU"/>
        </w:rPr>
        <w:t>.</w:t>
      </w:r>
      <w:r w:rsidRPr="00AA481B">
        <w:rPr>
          <w:lang w:val="en-AU"/>
        </w:rPr>
        <w:t xml:space="preserve"> (</w:t>
      </w:r>
      <w:r w:rsidR="00A1487C">
        <w:rPr>
          <w:lang w:val="en-AU"/>
        </w:rPr>
        <w:t>2007</w:t>
      </w:r>
      <w:r w:rsidR="006715D0">
        <w:rPr>
          <w:lang w:val="en-AU"/>
        </w:rPr>
        <w:t>;</w:t>
      </w:r>
      <w:r w:rsidR="00A1487C">
        <w:rPr>
          <w:lang w:val="en-AU"/>
        </w:rPr>
        <w:t xml:space="preserve"> </w:t>
      </w:r>
      <w:r w:rsidR="00035222" w:rsidRPr="00AA481B">
        <w:rPr>
          <w:lang w:val="en-AU"/>
        </w:rPr>
        <w:t>2012</w:t>
      </w:r>
      <w:r w:rsidR="006715D0">
        <w:rPr>
          <w:lang w:val="en-AU"/>
        </w:rPr>
        <w:t>;</w:t>
      </w:r>
      <w:r w:rsidR="00677636" w:rsidRPr="00AA481B">
        <w:rPr>
          <w:lang w:val="en-AU"/>
        </w:rPr>
        <w:t xml:space="preserve"> 2014</w:t>
      </w:r>
      <w:r w:rsidR="00035222" w:rsidRPr="00AA481B">
        <w:rPr>
          <w:lang w:val="en-AU"/>
        </w:rPr>
        <w:t xml:space="preserve">). </w:t>
      </w:r>
      <w:r w:rsidR="00035222" w:rsidRPr="00AA481B">
        <w:rPr>
          <w:i/>
          <w:lang w:val="en-AU"/>
        </w:rPr>
        <w:t>Recording Industry in Numbers</w:t>
      </w:r>
      <w:r w:rsidR="00035222" w:rsidRPr="00AA481B">
        <w:rPr>
          <w:lang w:val="en-AU"/>
        </w:rPr>
        <w:t>. International Federation of the Phonographic Industry</w:t>
      </w:r>
      <w:r w:rsidR="006715D0">
        <w:rPr>
          <w:lang w:val="en-AU"/>
        </w:rPr>
        <w:t>, London.</w:t>
      </w:r>
    </w:p>
    <w:p w14:paraId="371643B0" w14:textId="042E8756" w:rsidR="00674191" w:rsidRDefault="00674191" w:rsidP="00926D57">
      <w:pPr>
        <w:spacing w:after="0"/>
        <w:rPr>
          <w:lang w:val="en-AU"/>
        </w:rPr>
      </w:pPr>
      <w:r w:rsidRPr="006715D0">
        <w:rPr>
          <w:b/>
          <w:lang w:val="en-AU"/>
        </w:rPr>
        <w:t>Kraidy, M.</w:t>
      </w:r>
      <w:r>
        <w:rPr>
          <w:lang w:val="en-AU"/>
        </w:rPr>
        <w:t xml:space="preserve"> (2005). </w:t>
      </w:r>
      <w:r w:rsidRPr="00674191">
        <w:rPr>
          <w:i/>
          <w:lang w:val="en-AU"/>
        </w:rPr>
        <w:t xml:space="preserve">Hybridity, or the </w:t>
      </w:r>
      <w:r w:rsidR="006715D0">
        <w:rPr>
          <w:i/>
          <w:lang w:val="en-AU"/>
        </w:rPr>
        <w:t>C</w:t>
      </w:r>
      <w:r w:rsidRPr="00674191">
        <w:rPr>
          <w:i/>
          <w:lang w:val="en-AU"/>
        </w:rPr>
        <w:t xml:space="preserve">ultural </w:t>
      </w:r>
      <w:r w:rsidR="006715D0">
        <w:rPr>
          <w:i/>
          <w:lang w:val="en-AU"/>
        </w:rPr>
        <w:t>L</w:t>
      </w:r>
      <w:r w:rsidRPr="00674191">
        <w:rPr>
          <w:i/>
          <w:lang w:val="en-AU"/>
        </w:rPr>
        <w:t xml:space="preserve">ogic of </w:t>
      </w:r>
      <w:r w:rsidR="006715D0">
        <w:rPr>
          <w:i/>
          <w:lang w:val="en-AU"/>
        </w:rPr>
        <w:t>G</w:t>
      </w:r>
      <w:r w:rsidRPr="00674191">
        <w:rPr>
          <w:i/>
          <w:lang w:val="en-AU"/>
        </w:rPr>
        <w:t>lobalization.</w:t>
      </w:r>
      <w:r>
        <w:rPr>
          <w:lang w:val="en-AU"/>
        </w:rPr>
        <w:t xml:space="preserve"> Temple University Press</w:t>
      </w:r>
      <w:r w:rsidR="006715D0">
        <w:rPr>
          <w:lang w:val="en-AU"/>
        </w:rPr>
        <w:t>, Philadelphia, PA.</w:t>
      </w:r>
    </w:p>
    <w:p w14:paraId="11171EFB" w14:textId="080A9403" w:rsidR="000B039C" w:rsidRDefault="007B10A5" w:rsidP="00926D57">
      <w:pPr>
        <w:spacing w:after="0"/>
        <w:rPr>
          <w:lang w:val="en-AU"/>
        </w:rPr>
      </w:pPr>
      <w:r w:rsidRPr="006715D0">
        <w:rPr>
          <w:b/>
          <w:lang w:val="en-AU"/>
        </w:rPr>
        <w:t>Mirrlees, T.</w:t>
      </w:r>
      <w:r>
        <w:rPr>
          <w:lang w:val="en-AU"/>
        </w:rPr>
        <w:t xml:space="preserve"> (2013). </w:t>
      </w:r>
      <w:r w:rsidRPr="007B10A5">
        <w:rPr>
          <w:i/>
          <w:lang w:val="en-AU"/>
        </w:rPr>
        <w:t>Global Entertainment Media: Between Cultural Imperialism and Cultural Globalization.</w:t>
      </w:r>
      <w:r>
        <w:rPr>
          <w:lang w:val="en-AU"/>
        </w:rPr>
        <w:t xml:space="preserve"> Routledge</w:t>
      </w:r>
      <w:r w:rsidR="006715D0">
        <w:rPr>
          <w:lang w:val="en-AU"/>
        </w:rPr>
        <w:t>, New York</w:t>
      </w:r>
      <w:r>
        <w:rPr>
          <w:lang w:val="en-AU"/>
        </w:rPr>
        <w:t>.</w:t>
      </w:r>
    </w:p>
    <w:p w14:paraId="0409D532" w14:textId="0E196978" w:rsidR="00786639" w:rsidRDefault="00786639" w:rsidP="00926D57">
      <w:pPr>
        <w:spacing w:after="0"/>
        <w:rPr>
          <w:lang w:val="en-GB"/>
        </w:rPr>
      </w:pPr>
      <w:r w:rsidRPr="006715D0">
        <w:rPr>
          <w:b/>
          <w:lang w:val="en-GB"/>
        </w:rPr>
        <w:t>Nordgård, D.</w:t>
      </w:r>
      <w:r>
        <w:rPr>
          <w:lang w:val="en-GB"/>
        </w:rPr>
        <w:t xml:space="preserve"> (2013). </w:t>
      </w:r>
      <w:r w:rsidRPr="00786639">
        <w:rPr>
          <w:i/>
          <w:lang w:val="en-GB"/>
        </w:rPr>
        <w:t xml:space="preserve">Rapport fra Nordgård-utvalget. </w:t>
      </w:r>
      <w:r>
        <w:rPr>
          <w:lang w:val="en-GB"/>
        </w:rPr>
        <w:t>Oslo: Norwegian Ministry of Culture</w:t>
      </w:r>
      <w:r w:rsidR="006715D0">
        <w:rPr>
          <w:lang w:val="en-GB"/>
        </w:rPr>
        <w:t xml:space="preserve">, </w:t>
      </w:r>
      <w:r w:rsidRPr="00786639">
        <w:rPr>
          <w:lang w:val="en-GB"/>
        </w:rPr>
        <w:t>http://www.regjeringen.no/upload/KUD/Kunstavdelingen/</w:t>
      </w:r>
      <w:r>
        <w:rPr>
          <w:lang w:val="en-GB"/>
        </w:rPr>
        <w:t xml:space="preserve"> </w:t>
      </w:r>
      <w:r w:rsidRPr="00786639">
        <w:rPr>
          <w:lang w:val="en-GB"/>
        </w:rPr>
        <w:t>Rapporter_Utredninger/</w:t>
      </w:r>
      <w:r>
        <w:rPr>
          <w:lang w:val="en-GB"/>
        </w:rPr>
        <w:t xml:space="preserve"> </w:t>
      </w:r>
      <w:r w:rsidRPr="00786639">
        <w:rPr>
          <w:lang w:val="en-GB"/>
        </w:rPr>
        <w:t>Rapport_Nordgardutvalget.pdf</w:t>
      </w:r>
      <w:r>
        <w:rPr>
          <w:lang w:val="en-GB"/>
        </w:rPr>
        <w:t>.</w:t>
      </w:r>
    </w:p>
    <w:p w14:paraId="41186245" w14:textId="77777777" w:rsidR="006715D0" w:rsidRDefault="006715D0" w:rsidP="006715D0">
      <w:pPr>
        <w:spacing w:after="0"/>
        <w:rPr>
          <w:lang w:val="en-AU"/>
        </w:rPr>
      </w:pPr>
      <w:r w:rsidRPr="003907D1">
        <w:rPr>
          <w:b/>
          <w:lang w:val="en-AU"/>
        </w:rPr>
        <w:t>Salganik, M. J. and Watts, D. J.</w:t>
      </w:r>
      <w:r w:rsidRPr="00AA481B">
        <w:rPr>
          <w:lang w:val="en-AU"/>
        </w:rPr>
        <w:t xml:space="preserve"> (2009). Web-Based Experiments for the Study of Collective Social Dynamics in Cultural Markets. </w:t>
      </w:r>
      <w:r w:rsidRPr="00AA481B">
        <w:rPr>
          <w:i/>
          <w:iCs/>
          <w:lang w:val="en-AU"/>
        </w:rPr>
        <w:t>Topics in Cognitive Science</w:t>
      </w:r>
      <w:r>
        <w:rPr>
          <w:i/>
          <w:iCs/>
          <w:lang w:val="en-AU"/>
        </w:rPr>
        <w:t>,</w:t>
      </w:r>
      <w:r w:rsidRPr="00AA481B">
        <w:rPr>
          <w:lang w:val="en-AU"/>
        </w:rPr>
        <w:t xml:space="preserve"> </w:t>
      </w:r>
      <w:r w:rsidRPr="003907D1">
        <w:rPr>
          <w:b/>
          <w:iCs/>
          <w:lang w:val="en-AU"/>
        </w:rPr>
        <w:t>1</w:t>
      </w:r>
      <w:r w:rsidRPr="00AA481B">
        <w:rPr>
          <w:lang w:val="en-AU"/>
        </w:rPr>
        <w:t>(3)</w:t>
      </w:r>
      <w:r>
        <w:rPr>
          <w:lang w:val="en-AU"/>
        </w:rPr>
        <w:t>:</w:t>
      </w:r>
      <w:r w:rsidRPr="00AA481B">
        <w:rPr>
          <w:lang w:val="en-AU"/>
        </w:rPr>
        <w:t xml:space="preserve"> 439–68.</w:t>
      </w:r>
    </w:p>
    <w:p w14:paraId="2A296695" w14:textId="12612B62" w:rsidR="00B718AF" w:rsidRDefault="00EB145D" w:rsidP="00926D57">
      <w:pPr>
        <w:spacing w:after="0"/>
        <w:rPr>
          <w:lang w:val="en-GB"/>
        </w:rPr>
      </w:pPr>
      <w:r w:rsidRPr="006715D0">
        <w:rPr>
          <w:b/>
          <w:lang w:val="en-GB"/>
        </w:rPr>
        <w:lastRenderedPageBreak/>
        <w:t>Wikström, P.</w:t>
      </w:r>
      <w:r w:rsidRPr="00EB145D">
        <w:rPr>
          <w:lang w:val="en-GB"/>
        </w:rPr>
        <w:t xml:space="preserve"> (2009). The Adaptive Behaviour of Music Firms</w:t>
      </w:r>
      <w:r w:rsidR="006715D0">
        <w:rPr>
          <w:lang w:val="en-GB"/>
        </w:rPr>
        <w:t xml:space="preserve">: </w:t>
      </w:r>
      <w:r w:rsidRPr="00EB145D">
        <w:rPr>
          <w:lang w:val="en-GB"/>
        </w:rPr>
        <w:t xml:space="preserve">Introducing the Music Industry Feedback Model. </w:t>
      </w:r>
      <w:r w:rsidRPr="00EB145D">
        <w:rPr>
          <w:i/>
          <w:lang w:val="en-GB"/>
        </w:rPr>
        <w:t>Journal of Media Business Studies</w:t>
      </w:r>
      <w:r w:rsidR="006715D0">
        <w:rPr>
          <w:i/>
          <w:lang w:val="en-GB"/>
        </w:rPr>
        <w:t>,</w:t>
      </w:r>
      <w:r w:rsidRPr="00EB145D">
        <w:rPr>
          <w:i/>
          <w:lang w:val="en-GB"/>
        </w:rPr>
        <w:t xml:space="preserve"> </w:t>
      </w:r>
      <w:r w:rsidRPr="006715D0">
        <w:rPr>
          <w:b/>
          <w:lang w:val="en-GB"/>
        </w:rPr>
        <w:t>6</w:t>
      </w:r>
      <w:r w:rsidRPr="00EB145D">
        <w:rPr>
          <w:lang w:val="en-GB"/>
        </w:rPr>
        <w:t>(2): 67</w:t>
      </w:r>
      <w:r w:rsidR="006715D0">
        <w:rPr>
          <w:lang w:val="en-GB"/>
        </w:rPr>
        <w:t>–</w:t>
      </w:r>
      <w:r w:rsidRPr="00EB145D">
        <w:rPr>
          <w:lang w:val="en-GB"/>
        </w:rPr>
        <w:t>96.</w:t>
      </w:r>
    </w:p>
    <w:p w14:paraId="6B3D31AC" w14:textId="3900B8F5" w:rsidR="00C64C39" w:rsidRDefault="00A11FE7" w:rsidP="00926D57">
      <w:pPr>
        <w:spacing w:after="0"/>
        <w:rPr>
          <w:lang w:val="en-AU"/>
        </w:rPr>
      </w:pPr>
      <w:r w:rsidRPr="006715D0">
        <w:rPr>
          <w:b/>
          <w:lang w:val="en-GB"/>
        </w:rPr>
        <w:t>Wikström, P.</w:t>
      </w:r>
      <w:r>
        <w:rPr>
          <w:lang w:val="en-GB"/>
        </w:rPr>
        <w:t xml:space="preserve"> (2013</w:t>
      </w:r>
      <w:r w:rsidR="00C64C39" w:rsidRPr="000B039C">
        <w:rPr>
          <w:lang w:val="en-GB"/>
        </w:rPr>
        <w:t xml:space="preserve">). </w:t>
      </w:r>
      <w:r w:rsidR="00C64C39" w:rsidRPr="00C64C39">
        <w:rPr>
          <w:i/>
          <w:lang w:val="en-GB"/>
        </w:rPr>
        <w:t>The Music Industry</w:t>
      </w:r>
      <w:r w:rsidR="006715D0">
        <w:rPr>
          <w:i/>
          <w:lang w:val="en-GB"/>
        </w:rPr>
        <w:t>:</w:t>
      </w:r>
      <w:r w:rsidR="00C64C39" w:rsidRPr="00C64C39">
        <w:rPr>
          <w:i/>
          <w:lang w:val="en-GB"/>
        </w:rPr>
        <w:t xml:space="preserve"> Music in the Cloud.</w:t>
      </w:r>
      <w:r w:rsidR="00C64C39">
        <w:rPr>
          <w:lang w:val="en-GB"/>
        </w:rPr>
        <w:t xml:space="preserve"> Polity</w:t>
      </w:r>
      <w:r w:rsidR="006715D0">
        <w:rPr>
          <w:lang w:val="en-GB"/>
        </w:rPr>
        <w:t>, Cambridge, UK</w:t>
      </w:r>
      <w:r w:rsidR="00C64C39">
        <w:rPr>
          <w:lang w:val="en-AU"/>
        </w:rPr>
        <w:t>.</w:t>
      </w:r>
      <w:r w:rsidR="0039433A">
        <w:rPr>
          <w:lang w:val="en-AU"/>
        </w:rPr>
        <w:t xml:space="preserve"> </w:t>
      </w:r>
    </w:p>
    <w:sectPr w:rsidR="00C64C39" w:rsidSect="00076D92">
      <w:headerReference w:type="default" r:id="rId11"/>
      <w:pgSz w:w="11900" w:h="16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95F4379" w14:textId="77777777" w:rsidR="00DE590A" w:rsidRDefault="00DE590A" w:rsidP="00624E83">
      <w:pPr>
        <w:spacing w:line="240" w:lineRule="auto"/>
      </w:pPr>
      <w:r>
        <w:separator/>
      </w:r>
    </w:p>
  </w:endnote>
  <w:endnote w:type="continuationSeparator" w:id="0">
    <w:p w14:paraId="38426F32" w14:textId="77777777" w:rsidR="00DE590A" w:rsidRDefault="00DE590A" w:rsidP="00624E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Lucida Grande">
    <w:altName w:val="Arial"/>
    <w:charset w:val="00"/>
    <w:family w:val="auto"/>
    <w:pitch w:val="variable"/>
    <w:sig w:usb0="00000000" w:usb1="5000A1FF" w:usb2="00000000" w:usb3="00000000" w:csb0="000001B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1512B9" w14:textId="77777777" w:rsidR="00DE590A" w:rsidRDefault="00DE590A" w:rsidP="00624E83">
      <w:pPr>
        <w:spacing w:line="240" w:lineRule="auto"/>
      </w:pPr>
      <w:r>
        <w:separator/>
      </w:r>
    </w:p>
  </w:footnote>
  <w:footnote w:type="continuationSeparator" w:id="0">
    <w:p w14:paraId="3C28C16A" w14:textId="77777777" w:rsidR="00DE590A" w:rsidRDefault="00DE590A" w:rsidP="00624E8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DEC0B5" w14:textId="0B2EAFBD" w:rsidR="001453CE" w:rsidRDefault="001453CE">
    <w:pPr>
      <w:pStyle w:val="Header"/>
    </w:pPr>
    <w:r>
      <w:ptab w:relativeTo="margin" w:alignment="right" w:leader="none"/>
    </w:r>
  </w:p>
  <w:p w14:paraId="07AB2FA2" w14:textId="74711D82" w:rsidR="001453CE" w:rsidRDefault="001453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57643"/>
    <w:multiLevelType w:val="hybridMultilevel"/>
    <w:tmpl w:val="51C8CFEC"/>
    <w:lvl w:ilvl="0" w:tplc="310E55EC">
      <w:start w:val="1"/>
      <w:numFmt w:val="bullet"/>
      <w:lvlText w:val="•"/>
      <w:lvlJc w:val="left"/>
      <w:pPr>
        <w:tabs>
          <w:tab w:val="num" w:pos="720"/>
        </w:tabs>
        <w:ind w:left="720" w:hanging="360"/>
      </w:pPr>
      <w:rPr>
        <w:rFonts w:ascii="Arial" w:hAnsi="Arial" w:hint="default"/>
      </w:rPr>
    </w:lvl>
    <w:lvl w:ilvl="1" w:tplc="D9145744" w:tentative="1">
      <w:start w:val="1"/>
      <w:numFmt w:val="bullet"/>
      <w:lvlText w:val="•"/>
      <w:lvlJc w:val="left"/>
      <w:pPr>
        <w:tabs>
          <w:tab w:val="num" w:pos="1440"/>
        </w:tabs>
        <w:ind w:left="1440" w:hanging="360"/>
      </w:pPr>
      <w:rPr>
        <w:rFonts w:ascii="Arial" w:hAnsi="Arial" w:hint="default"/>
      </w:rPr>
    </w:lvl>
    <w:lvl w:ilvl="2" w:tplc="4F721CCA" w:tentative="1">
      <w:start w:val="1"/>
      <w:numFmt w:val="bullet"/>
      <w:lvlText w:val="•"/>
      <w:lvlJc w:val="left"/>
      <w:pPr>
        <w:tabs>
          <w:tab w:val="num" w:pos="2160"/>
        </w:tabs>
        <w:ind w:left="2160" w:hanging="360"/>
      </w:pPr>
      <w:rPr>
        <w:rFonts w:ascii="Arial" w:hAnsi="Arial" w:hint="default"/>
      </w:rPr>
    </w:lvl>
    <w:lvl w:ilvl="3" w:tplc="F37442BE" w:tentative="1">
      <w:start w:val="1"/>
      <w:numFmt w:val="bullet"/>
      <w:lvlText w:val="•"/>
      <w:lvlJc w:val="left"/>
      <w:pPr>
        <w:tabs>
          <w:tab w:val="num" w:pos="2880"/>
        </w:tabs>
        <w:ind w:left="2880" w:hanging="360"/>
      </w:pPr>
      <w:rPr>
        <w:rFonts w:ascii="Arial" w:hAnsi="Arial" w:hint="default"/>
      </w:rPr>
    </w:lvl>
    <w:lvl w:ilvl="4" w:tplc="D302B18E" w:tentative="1">
      <w:start w:val="1"/>
      <w:numFmt w:val="bullet"/>
      <w:lvlText w:val="•"/>
      <w:lvlJc w:val="left"/>
      <w:pPr>
        <w:tabs>
          <w:tab w:val="num" w:pos="3600"/>
        </w:tabs>
        <w:ind w:left="3600" w:hanging="360"/>
      </w:pPr>
      <w:rPr>
        <w:rFonts w:ascii="Arial" w:hAnsi="Arial" w:hint="default"/>
      </w:rPr>
    </w:lvl>
    <w:lvl w:ilvl="5" w:tplc="174E5846" w:tentative="1">
      <w:start w:val="1"/>
      <w:numFmt w:val="bullet"/>
      <w:lvlText w:val="•"/>
      <w:lvlJc w:val="left"/>
      <w:pPr>
        <w:tabs>
          <w:tab w:val="num" w:pos="4320"/>
        </w:tabs>
        <w:ind w:left="4320" w:hanging="360"/>
      </w:pPr>
      <w:rPr>
        <w:rFonts w:ascii="Arial" w:hAnsi="Arial" w:hint="default"/>
      </w:rPr>
    </w:lvl>
    <w:lvl w:ilvl="6" w:tplc="D2E2D2AC" w:tentative="1">
      <w:start w:val="1"/>
      <w:numFmt w:val="bullet"/>
      <w:lvlText w:val="•"/>
      <w:lvlJc w:val="left"/>
      <w:pPr>
        <w:tabs>
          <w:tab w:val="num" w:pos="5040"/>
        </w:tabs>
        <w:ind w:left="5040" w:hanging="360"/>
      </w:pPr>
      <w:rPr>
        <w:rFonts w:ascii="Arial" w:hAnsi="Arial" w:hint="default"/>
      </w:rPr>
    </w:lvl>
    <w:lvl w:ilvl="7" w:tplc="9F24B324" w:tentative="1">
      <w:start w:val="1"/>
      <w:numFmt w:val="bullet"/>
      <w:lvlText w:val="•"/>
      <w:lvlJc w:val="left"/>
      <w:pPr>
        <w:tabs>
          <w:tab w:val="num" w:pos="5760"/>
        </w:tabs>
        <w:ind w:left="5760" w:hanging="360"/>
      </w:pPr>
      <w:rPr>
        <w:rFonts w:ascii="Arial" w:hAnsi="Arial" w:hint="default"/>
      </w:rPr>
    </w:lvl>
    <w:lvl w:ilvl="8" w:tplc="05806024" w:tentative="1">
      <w:start w:val="1"/>
      <w:numFmt w:val="bullet"/>
      <w:lvlText w:val="•"/>
      <w:lvlJc w:val="left"/>
      <w:pPr>
        <w:tabs>
          <w:tab w:val="num" w:pos="6480"/>
        </w:tabs>
        <w:ind w:left="6480" w:hanging="360"/>
      </w:pPr>
      <w:rPr>
        <w:rFonts w:ascii="Arial" w:hAnsi="Arial" w:hint="default"/>
      </w:rPr>
    </w:lvl>
  </w:abstractNum>
  <w:abstractNum w:abstractNumId="1">
    <w:nsid w:val="0DCC0B79"/>
    <w:multiLevelType w:val="hybridMultilevel"/>
    <w:tmpl w:val="05A4E774"/>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9A083F"/>
    <w:multiLevelType w:val="hybridMultilevel"/>
    <w:tmpl w:val="5044D844"/>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B265713"/>
    <w:multiLevelType w:val="hybridMultilevel"/>
    <w:tmpl w:val="8BEC7E6E"/>
    <w:lvl w:ilvl="0" w:tplc="DFBA9534">
      <w:start w:val="1"/>
      <w:numFmt w:val="bullet"/>
      <w:lvlText w:val="•"/>
      <w:lvlJc w:val="left"/>
      <w:pPr>
        <w:tabs>
          <w:tab w:val="num" w:pos="720"/>
        </w:tabs>
        <w:ind w:left="720" w:hanging="360"/>
      </w:pPr>
      <w:rPr>
        <w:rFonts w:ascii="Arial" w:hAnsi="Arial" w:hint="default"/>
      </w:rPr>
    </w:lvl>
    <w:lvl w:ilvl="1" w:tplc="6B38CDDE">
      <w:numFmt w:val="bullet"/>
      <w:lvlText w:val="–"/>
      <w:lvlJc w:val="left"/>
      <w:pPr>
        <w:tabs>
          <w:tab w:val="num" w:pos="1440"/>
        </w:tabs>
        <w:ind w:left="1440" w:hanging="360"/>
      </w:pPr>
      <w:rPr>
        <w:rFonts w:ascii="Arial" w:hAnsi="Arial" w:hint="default"/>
      </w:rPr>
    </w:lvl>
    <w:lvl w:ilvl="2" w:tplc="3D5E99CA" w:tentative="1">
      <w:start w:val="1"/>
      <w:numFmt w:val="bullet"/>
      <w:lvlText w:val="•"/>
      <w:lvlJc w:val="left"/>
      <w:pPr>
        <w:tabs>
          <w:tab w:val="num" w:pos="2160"/>
        </w:tabs>
        <w:ind w:left="2160" w:hanging="360"/>
      </w:pPr>
      <w:rPr>
        <w:rFonts w:ascii="Arial" w:hAnsi="Arial" w:hint="default"/>
      </w:rPr>
    </w:lvl>
    <w:lvl w:ilvl="3" w:tplc="828EFFEC" w:tentative="1">
      <w:start w:val="1"/>
      <w:numFmt w:val="bullet"/>
      <w:lvlText w:val="•"/>
      <w:lvlJc w:val="left"/>
      <w:pPr>
        <w:tabs>
          <w:tab w:val="num" w:pos="2880"/>
        </w:tabs>
        <w:ind w:left="2880" w:hanging="360"/>
      </w:pPr>
      <w:rPr>
        <w:rFonts w:ascii="Arial" w:hAnsi="Arial" w:hint="default"/>
      </w:rPr>
    </w:lvl>
    <w:lvl w:ilvl="4" w:tplc="9536C032" w:tentative="1">
      <w:start w:val="1"/>
      <w:numFmt w:val="bullet"/>
      <w:lvlText w:val="•"/>
      <w:lvlJc w:val="left"/>
      <w:pPr>
        <w:tabs>
          <w:tab w:val="num" w:pos="3600"/>
        </w:tabs>
        <w:ind w:left="3600" w:hanging="360"/>
      </w:pPr>
      <w:rPr>
        <w:rFonts w:ascii="Arial" w:hAnsi="Arial" w:hint="default"/>
      </w:rPr>
    </w:lvl>
    <w:lvl w:ilvl="5" w:tplc="C180DF34" w:tentative="1">
      <w:start w:val="1"/>
      <w:numFmt w:val="bullet"/>
      <w:lvlText w:val="•"/>
      <w:lvlJc w:val="left"/>
      <w:pPr>
        <w:tabs>
          <w:tab w:val="num" w:pos="4320"/>
        </w:tabs>
        <w:ind w:left="4320" w:hanging="360"/>
      </w:pPr>
      <w:rPr>
        <w:rFonts w:ascii="Arial" w:hAnsi="Arial" w:hint="default"/>
      </w:rPr>
    </w:lvl>
    <w:lvl w:ilvl="6" w:tplc="85D49C12" w:tentative="1">
      <w:start w:val="1"/>
      <w:numFmt w:val="bullet"/>
      <w:lvlText w:val="•"/>
      <w:lvlJc w:val="left"/>
      <w:pPr>
        <w:tabs>
          <w:tab w:val="num" w:pos="5040"/>
        </w:tabs>
        <w:ind w:left="5040" w:hanging="360"/>
      </w:pPr>
      <w:rPr>
        <w:rFonts w:ascii="Arial" w:hAnsi="Arial" w:hint="default"/>
      </w:rPr>
    </w:lvl>
    <w:lvl w:ilvl="7" w:tplc="C47A34E2" w:tentative="1">
      <w:start w:val="1"/>
      <w:numFmt w:val="bullet"/>
      <w:lvlText w:val="•"/>
      <w:lvlJc w:val="left"/>
      <w:pPr>
        <w:tabs>
          <w:tab w:val="num" w:pos="5760"/>
        </w:tabs>
        <w:ind w:left="5760" w:hanging="360"/>
      </w:pPr>
      <w:rPr>
        <w:rFonts w:ascii="Arial" w:hAnsi="Arial" w:hint="default"/>
      </w:rPr>
    </w:lvl>
    <w:lvl w:ilvl="8" w:tplc="47808A5E" w:tentative="1">
      <w:start w:val="1"/>
      <w:numFmt w:val="bullet"/>
      <w:lvlText w:val="•"/>
      <w:lvlJc w:val="left"/>
      <w:pPr>
        <w:tabs>
          <w:tab w:val="num" w:pos="6480"/>
        </w:tabs>
        <w:ind w:left="6480" w:hanging="360"/>
      </w:pPr>
      <w:rPr>
        <w:rFonts w:ascii="Arial" w:hAnsi="Arial" w:hint="default"/>
      </w:rPr>
    </w:lvl>
  </w:abstractNum>
  <w:abstractNum w:abstractNumId="4">
    <w:nsid w:val="584A4E2C"/>
    <w:multiLevelType w:val="hybridMultilevel"/>
    <w:tmpl w:val="8318B36E"/>
    <w:lvl w:ilvl="0" w:tplc="856025DA">
      <w:start w:val="1"/>
      <w:numFmt w:val="bullet"/>
      <w:pStyle w:val="StyleCalibri10ptLeftBefore2ptAfter2ptLinespaci"/>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133216B"/>
    <w:multiLevelType w:val="hybridMultilevel"/>
    <w:tmpl w:val="D5CCAE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9565DAB"/>
    <w:multiLevelType w:val="hybridMultilevel"/>
    <w:tmpl w:val="89782196"/>
    <w:lvl w:ilvl="0" w:tplc="DFBA953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E76818"/>
    <w:multiLevelType w:val="hybridMultilevel"/>
    <w:tmpl w:val="75E0B702"/>
    <w:lvl w:ilvl="0" w:tplc="7534B570">
      <w:start w:val="1"/>
      <w:numFmt w:val="bullet"/>
      <w:lvlText w:val="•"/>
      <w:lvlJc w:val="left"/>
      <w:pPr>
        <w:tabs>
          <w:tab w:val="num" w:pos="720"/>
        </w:tabs>
        <w:ind w:left="720" w:hanging="360"/>
      </w:pPr>
      <w:rPr>
        <w:rFonts w:ascii="Arial" w:hAnsi="Arial" w:hint="default"/>
      </w:rPr>
    </w:lvl>
    <w:lvl w:ilvl="1" w:tplc="32A404F2" w:tentative="1">
      <w:start w:val="1"/>
      <w:numFmt w:val="bullet"/>
      <w:lvlText w:val="•"/>
      <w:lvlJc w:val="left"/>
      <w:pPr>
        <w:tabs>
          <w:tab w:val="num" w:pos="1440"/>
        </w:tabs>
        <w:ind w:left="1440" w:hanging="360"/>
      </w:pPr>
      <w:rPr>
        <w:rFonts w:ascii="Arial" w:hAnsi="Arial" w:hint="default"/>
      </w:rPr>
    </w:lvl>
    <w:lvl w:ilvl="2" w:tplc="0A32621A" w:tentative="1">
      <w:start w:val="1"/>
      <w:numFmt w:val="bullet"/>
      <w:lvlText w:val="•"/>
      <w:lvlJc w:val="left"/>
      <w:pPr>
        <w:tabs>
          <w:tab w:val="num" w:pos="2160"/>
        </w:tabs>
        <w:ind w:left="2160" w:hanging="360"/>
      </w:pPr>
      <w:rPr>
        <w:rFonts w:ascii="Arial" w:hAnsi="Arial" w:hint="default"/>
      </w:rPr>
    </w:lvl>
    <w:lvl w:ilvl="3" w:tplc="D6A4F6EE" w:tentative="1">
      <w:start w:val="1"/>
      <w:numFmt w:val="bullet"/>
      <w:lvlText w:val="•"/>
      <w:lvlJc w:val="left"/>
      <w:pPr>
        <w:tabs>
          <w:tab w:val="num" w:pos="2880"/>
        </w:tabs>
        <w:ind w:left="2880" w:hanging="360"/>
      </w:pPr>
      <w:rPr>
        <w:rFonts w:ascii="Arial" w:hAnsi="Arial" w:hint="default"/>
      </w:rPr>
    </w:lvl>
    <w:lvl w:ilvl="4" w:tplc="B636B37E" w:tentative="1">
      <w:start w:val="1"/>
      <w:numFmt w:val="bullet"/>
      <w:lvlText w:val="•"/>
      <w:lvlJc w:val="left"/>
      <w:pPr>
        <w:tabs>
          <w:tab w:val="num" w:pos="3600"/>
        </w:tabs>
        <w:ind w:left="3600" w:hanging="360"/>
      </w:pPr>
      <w:rPr>
        <w:rFonts w:ascii="Arial" w:hAnsi="Arial" w:hint="default"/>
      </w:rPr>
    </w:lvl>
    <w:lvl w:ilvl="5" w:tplc="626682A0" w:tentative="1">
      <w:start w:val="1"/>
      <w:numFmt w:val="bullet"/>
      <w:lvlText w:val="•"/>
      <w:lvlJc w:val="left"/>
      <w:pPr>
        <w:tabs>
          <w:tab w:val="num" w:pos="4320"/>
        </w:tabs>
        <w:ind w:left="4320" w:hanging="360"/>
      </w:pPr>
      <w:rPr>
        <w:rFonts w:ascii="Arial" w:hAnsi="Arial" w:hint="default"/>
      </w:rPr>
    </w:lvl>
    <w:lvl w:ilvl="6" w:tplc="BDAACFB0" w:tentative="1">
      <w:start w:val="1"/>
      <w:numFmt w:val="bullet"/>
      <w:lvlText w:val="•"/>
      <w:lvlJc w:val="left"/>
      <w:pPr>
        <w:tabs>
          <w:tab w:val="num" w:pos="5040"/>
        </w:tabs>
        <w:ind w:left="5040" w:hanging="360"/>
      </w:pPr>
      <w:rPr>
        <w:rFonts w:ascii="Arial" w:hAnsi="Arial" w:hint="default"/>
      </w:rPr>
    </w:lvl>
    <w:lvl w:ilvl="7" w:tplc="4A4820EA" w:tentative="1">
      <w:start w:val="1"/>
      <w:numFmt w:val="bullet"/>
      <w:lvlText w:val="•"/>
      <w:lvlJc w:val="left"/>
      <w:pPr>
        <w:tabs>
          <w:tab w:val="num" w:pos="5760"/>
        </w:tabs>
        <w:ind w:left="5760" w:hanging="360"/>
      </w:pPr>
      <w:rPr>
        <w:rFonts w:ascii="Arial" w:hAnsi="Arial" w:hint="default"/>
      </w:rPr>
    </w:lvl>
    <w:lvl w:ilvl="8" w:tplc="F5845016" w:tentative="1">
      <w:start w:val="1"/>
      <w:numFmt w:val="bullet"/>
      <w:lvlText w:val="•"/>
      <w:lvlJc w:val="left"/>
      <w:pPr>
        <w:tabs>
          <w:tab w:val="num" w:pos="6480"/>
        </w:tabs>
        <w:ind w:left="6480" w:hanging="360"/>
      </w:pPr>
      <w:rPr>
        <w:rFonts w:ascii="Arial" w:hAnsi="Arial" w:hint="default"/>
      </w:rPr>
    </w:lvl>
  </w:abstractNum>
  <w:abstractNum w:abstractNumId="8">
    <w:nsid w:val="72CE1914"/>
    <w:multiLevelType w:val="multilevel"/>
    <w:tmpl w:val="799E018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79561A84"/>
    <w:multiLevelType w:val="hybridMultilevel"/>
    <w:tmpl w:val="DB029B48"/>
    <w:lvl w:ilvl="0" w:tplc="C852695C">
      <w:start w:val="1"/>
      <w:numFmt w:val="bullet"/>
      <w:lvlText w:val="•"/>
      <w:lvlJc w:val="left"/>
      <w:pPr>
        <w:tabs>
          <w:tab w:val="num" w:pos="720"/>
        </w:tabs>
        <w:ind w:left="720" w:hanging="360"/>
      </w:pPr>
      <w:rPr>
        <w:rFonts w:ascii="Arial" w:hAnsi="Arial" w:hint="default"/>
      </w:rPr>
    </w:lvl>
    <w:lvl w:ilvl="1" w:tplc="7A2EDD98" w:tentative="1">
      <w:start w:val="1"/>
      <w:numFmt w:val="bullet"/>
      <w:lvlText w:val="•"/>
      <w:lvlJc w:val="left"/>
      <w:pPr>
        <w:tabs>
          <w:tab w:val="num" w:pos="1440"/>
        </w:tabs>
        <w:ind w:left="1440" w:hanging="360"/>
      </w:pPr>
      <w:rPr>
        <w:rFonts w:ascii="Arial" w:hAnsi="Arial" w:hint="default"/>
      </w:rPr>
    </w:lvl>
    <w:lvl w:ilvl="2" w:tplc="940AB4E2" w:tentative="1">
      <w:start w:val="1"/>
      <w:numFmt w:val="bullet"/>
      <w:lvlText w:val="•"/>
      <w:lvlJc w:val="left"/>
      <w:pPr>
        <w:tabs>
          <w:tab w:val="num" w:pos="2160"/>
        </w:tabs>
        <w:ind w:left="2160" w:hanging="360"/>
      </w:pPr>
      <w:rPr>
        <w:rFonts w:ascii="Arial" w:hAnsi="Arial" w:hint="default"/>
      </w:rPr>
    </w:lvl>
    <w:lvl w:ilvl="3" w:tplc="F17E0E44" w:tentative="1">
      <w:start w:val="1"/>
      <w:numFmt w:val="bullet"/>
      <w:lvlText w:val="•"/>
      <w:lvlJc w:val="left"/>
      <w:pPr>
        <w:tabs>
          <w:tab w:val="num" w:pos="2880"/>
        </w:tabs>
        <w:ind w:left="2880" w:hanging="360"/>
      </w:pPr>
      <w:rPr>
        <w:rFonts w:ascii="Arial" w:hAnsi="Arial" w:hint="default"/>
      </w:rPr>
    </w:lvl>
    <w:lvl w:ilvl="4" w:tplc="B962803C" w:tentative="1">
      <w:start w:val="1"/>
      <w:numFmt w:val="bullet"/>
      <w:lvlText w:val="•"/>
      <w:lvlJc w:val="left"/>
      <w:pPr>
        <w:tabs>
          <w:tab w:val="num" w:pos="3600"/>
        </w:tabs>
        <w:ind w:left="3600" w:hanging="360"/>
      </w:pPr>
      <w:rPr>
        <w:rFonts w:ascii="Arial" w:hAnsi="Arial" w:hint="default"/>
      </w:rPr>
    </w:lvl>
    <w:lvl w:ilvl="5" w:tplc="10D04D7A" w:tentative="1">
      <w:start w:val="1"/>
      <w:numFmt w:val="bullet"/>
      <w:lvlText w:val="•"/>
      <w:lvlJc w:val="left"/>
      <w:pPr>
        <w:tabs>
          <w:tab w:val="num" w:pos="4320"/>
        </w:tabs>
        <w:ind w:left="4320" w:hanging="360"/>
      </w:pPr>
      <w:rPr>
        <w:rFonts w:ascii="Arial" w:hAnsi="Arial" w:hint="default"/>
      </w:rPr>
    </w:lvl>
    <w:lvl w:ilvl="6" w:tplc="AF061E08" w:tentative="1">
      <w:start w:val="1"/>
      <w:numFmt w:val="bullet"/>
      <w:lvlText w:val="•"/>
      <w:lvlJc w:val="left"/>
      <w:pPr>
        <w:tabs>
          <w:tab w:val="num" w:pos="5040"/>
        </w:tabs>
        <w:ind w:left="5040" w:hanging="360"/>
      </w:pPr>
      <w:rPr>
        <w:rFonts w:ascii="Arial" w:hAnsi="Arial" w:hint="default"/>
      </w:rPr>
    </w:lvl>
    <w:lvl w:ilvl="7" w:tplc="98DEE20E" w:tentative="1">
      <w:start w:val="1"/>
      <w:numFmt w:val="bullet"/>
      <w:lvlText w:val="•"/>
      <w:lvlJc w:val="left"/>
      <w:pPr>
        <w:tabs>
          <w:tab w:val="num" w:pos="5760"/>
        </w:tabs>
        <w:ind w:left="5760" w:hanging="360"/>
      </w:pPr>
      <w:rPr>
        <w:rFonts w:ascii="Arial" w:hAnsi="Arial" w:hint="default"/>
      </w:rPr>
    </w:lvl>
    <w:lvl w:ilvl="8" w:tplc="DB68BC0E" w:tentative="1">
      <w:start w:val="1"/>
      <w:numFmt w:val="bullet"/>
      <w:lvlText w:val="•"/>
      <w:lvlJc w:val="left"/>
      <w:pPr>
        <w:tabs>
          <w:tab w:val="num" w:pos="6480"/>
        </w:tabs>
        <w:ind w:left="6480" w:hanging="360"/>
      </w:pPr>
      <w:rPr>
        <w:rFonts w:ascii="Arial" w:hAnsi="Arial" w:hint="default"/>
      </w:rPr>
    </w:lvl>
  </w:abstractNum>
  <w:num w:numId="1">
    <w:abstractNumId w:val="8"/>
  </w:num>
  <w:num w:numId="2">
    <w:abstractNumId w:val="4"/>
  </w:num>
  <w:num w:numId="3">
    <w:abstractNumId w:val="0"/>
  </w:num>
  <w:num w:numId="4">
    <w:abstractNumId w:val="7"/>
  </w:num>
  <w:num w:numId="5">
    <w:abstractNumId w:val="3"/>
  </w:num>
  <w:num w:numId="6">
    <w:abstractNumId w:val="9"/>
  </w:num>
  <w:num w:numId="7">
    <w:abstractNumId w:val="6"/>
  </w:num>
  <w:num w:numId="8">
    <w:abstractNumId w:val="5"/>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4A34"/>
    <w:rsid w:val="0000376C"/>
    <w:rsid w:val="000055D6"/>
    <w:rsid w:val="00016C30"/>
    <w:rsid w:val="00032FD6"/>
    <w:rsid w:val="00035222"/>
    <w:rsid w:val="00045480"/>
    <w:rsid w:val="0005420F"/>
    <w:rsid w:val="0006722D"/>
    <w:rsid w:val="00076D92"/>
    <w:rsid w:val="00087365"/>
    <w:rsid w:val="000A36D0"/>
    <w:rsid w:val="000B039C"/>
    <w:rsid w:val="000C221B"/>
    <w:rsid w:val="000E563C"/>
    <w:rsid w:val="000E7C62"/>
    <w:rsid w:val="000F5CCC"/>
    <w:rsid w:val="001153B3"/>
    <w:rsid w:val="00125CA0"/>
    <w:rsid w:val="00127F9B"/>
    <w:rsid w:val="00131147"/>
    <w:rsid w:val="001453CE"/>
    <w:rsid w:val="00152220"/>
    <w:rsid w:val="00172C64"/>
    <w:rsid w:val="00176C0F"/>
    <w:rsid w:val="001929BB"/>
    <w:rsid w:val="001B71C9"/>
    <w:rsid w:val="001B778C"/>
    <w:rsid w:val="001C0130"/>
    <w:rsid w:val="001C0F42"/>
    <w:rsid w:val="001C36CD"/>
    <w:rsid w:val="001C7061"/>
    <w:rsid w:val="001D5C38"/>
    <w:rsid w:val="001E02CB"/>
    <w:rsid w:val="00200813"/>
    <w:rsid w:val="00213C63"/>
    <w:rsid w:val="00220D7E"/>
    <w:rsid w:val="0022350C"/>
    <w:rsid w:val="00226C41"/>
    <w:rsid w:val="00227961"/>
    <w:rsid w:val="00234061"/>
    <w:rsid w:val="002355DA"/>
    <w:rsid w:val="002731F9"/>
    <w:rsid w:val="002827A9"/>
    <w:rsid w:val="00290E54"/>
    <w:rsid w:val="002D2A0B"/>
    <w:rsid w:val="002E590F"/>
    <w:rsid w:val="002E654E"/>
    <w:rsid w:val="002F1FB6"/>
    <w:rsid w:val="0032473C"/>
    <w:rsid w:val="00354DFC"/>
    <w:rsid w:val="003634D3"/>
    <w:rsid w:val="00385661"/>
    <w:rsid w:val="0039433A"/>
    <w:rsid w:val="00394528"/>
    <w:rsid w:val="003A75DA"/>
    <w:rsid w:val="003B3E84"/>
    <w:rsid w:val="003C2988"/>
    <w:rsid w:val="003C6FAC"/>
    <w:rsid w:val="003D1FA7"/>
    <w:rsid w:val="003E6A21"/>
    <w:rsid w:val="004137E7"/>
    <w:rsid w:val="00425FEA"/>
    <w:rsid w:val="004339D5"/>
    <w:rsid w:val="0043768D"/>
    <w:rsid w:val="00444B3E"/>
    <w:rsid w:val="00460A8B"/>
    <w:rsid w:val="00487E63"/>
    <w:rsid w:val="004D16B7"/>
    <w:rsid w:val="004E211E"/>
    <w:rsid w:val="004F1868"/>
    <w:rsid w:val="004F2A89"/>
    <w:rsid w:val="00501413"/>
    <w:rsid w:val="00501C62"/>
    <w:rsid w:val="00503D78"/>
    <w:rsid w:val="00515088"/>
    <w:rsid w:val="0052009B"/>
    <w:rsid w:val="005242ED"/>
    <w:rsid w:val="005659E8"/>
    <w:rsid w:val="005704BE"/>
    <w:rsid w:val="00571B3A"/>
    <w:rsid w:val="00581A75"/>
    <w:rsid w:val="00584719"/>
    <w:rsid w:val="005B2B3F"/>
    <w:rsid w:val="005D38CC"/>
    <w:rsid w:val="00620622"/>
    <w:rsid w:val="00624E83"/>
    <w:rsid w:val="006715D0"/>
    <w:rsid w:val="00674191"/>
    <w:rsid w:val="00677636"/>
    <w:rsid w:val="006B4A34"/>
    <w:rsid w:val="006C200B"/>
    <w:rsid w:val="006E33BA"/>
    <w:rsid w:val="006E368A"/>
    <w:rsid w:val="006F11DE"/>
    <w:rsid w:val="006F327A"/>
    <w:rsid w:val="006F3E89"/>
    <w:rsid w:val="006F7492"/>
    <w:rsid w:val="0073623B"/>
    <w:rsid w:val="007365A7"/>
    <w:rsid w:val="00765E53"/>
    <w:rsid w:val="00786639"/>
    <w:rsid w:val="00795EB0"/>
    <w:rsid w:val="007961E7"/>
    <w:rsid w:val="007A25B7"/>
    <w:rsid w:val="007A4D01"/>
    <w:rsid w:val="007B10A5"/>
    <w:rsid w:val="007C2514"/>
    <w:rsid w:val="007C4F89"/>
    <w:rsid w:val="007C7F2A"/>
    <w:rsid w:val="007D2870"/>
    <w:rsid w:val="007E417D"/>
    <w:rsid w:val="007F20A7"/>
    <w:rsid w:val="00804409"/>
    <w:rsid w:val="008075F2"/>
    <w:rsid w:val="008154E6"/>
    <w:rsid w:val="00816E07"/>
    <w:rsid w:val="00843F3B"/>
    <w:rsid w:val="008765C9"/>
    <w:rsid w:val="00881851"/>
    <w:rsid w:val="008913E4"/>
    <w:rsid w:val="008A0480"/>
    <w:rsid w:val="008B79A4"/>
    <w:rsid w:val="008D11E0"/>
    <w:rsid w:val="008F31AB"/>
    <w:rsid w:val="008F42EE"/>
    <w:rsid w:val="00903B96"/>
    <w:rsid w:val="0090588B"/>
    <w:rsid w:val="00905B6D"/>
    <w:rsid w:val="009155B1"/>
    <w:rsid w:val="00917383"/>
    <w:rsid w:val="00920A74"/>
    <w:rsid w:val="009237D4"/>
    <w:rsid w:val="00926D57"/>
    <w:rsid w:val="00941F5C"/>
    <w:rsid w:val="00944768"/>
    <w:rsid w:val="00984BD0"/>
    <w:rsid w:val="00996D50"/>
    <w:rsid w:val="009A5240"/>
    <w:rsid w:val="009B2687"/>
    <w:rsid w:val="009E265E"/>
    <w:rsid w:val="00A11FE7"/>
    <w:rsid w:val="00A1487C"/>
    <w:rsid w:val="00A15461"/>
    <w:rsid w:val="00A306AF"/>
    <w:rsid w:val="00A45773"/>
    <w:rsid w:val="00A45F8F"/>
    <w:rsid w:val="00A77B1A"/>
    <w:rsid w:val="00A80369"/>
    <w:rsid w:val="00A82E1E"/>
    <w:rsid w:val="00A86C0E"/>
    <w:rsid w:val="00AA0807"/>
    <w:rsid w:val="00AA481B"/>
    <w:rsid w:val="00AC379A"/>
    <w:rsid w:val="00AC439B"/>
    <w:rsid w:val="00AE0834"/>
    <w:rsid w:val="00AE1693"/>
    <w:rsid w:val="00B06064"/>
    <w:rsid w:val="00B167CB"/>
    <w:rsid w:val="00B21574"/>
    <w:rsid w:val="00B23F9F"/>
    <w:rsid w:val="00B32071"/>
    <w:rsid w:val="00B35A88"/>
    <w:rsid w:val="00B40CA2"/>
    <w:rsid w:val="00B55E98"/>
    <w:rsid w:val="00B718AF"/>
    <w:rsid w:val="00B80F4B"/>
    <w:rsid w:val="00B95613"/>
    <w:rsid w:val="00BA6A25"/>
    <w:rsid w:val="00BA6F0B"/>
    <w:rsid w:val="00BD5F83"/>
    <w:rsid w:val="00BD6B84"/>
    <w:rsid w:val="00BE478D"/>
    <w:rsid w:val="00BF1D1B"/>
    <w:rsid w:val="00BF4425"/>
    <w:rsid w:val="00BF5AB3"/>
    <w:rsid w:val="00C03B66"/>
    <w:rsid w:val="00C04F3E"/>
    <w:rsid w:val="00C136FD"/>
    <w:rsid w:val="00C225FF"/>
    <w:rsid w:val="00C25C9D"/>
    <w:rsid w:val="00C46490"/>
    <w:rsid w:val="00C5498C"/>
    <w:rsid w:val="00C55CCA"/>
    <w:rsid w:val="00C64C39"/>
    <w:rsid w:val="00C6594B"/>
    <w:rsid w:val="00C76B45"/>
    <w:rsid w:val="00C80BB5"/>
    <w:rsid w:val="00C80C75"/>
    <w:rsid w:val="00C846ED"/>
    <w:rsid w:val="00C85B3A"/>
    <w:rsid w:val="00CC30B6"/>
    <w:rsid w:val="00CD60BB"/>
    <w:rsid w:val="00CE6041"/>
    <w:rsid w:val="00CE6985"/>
    <w:rsid w:val="00D00C75"/>
    <w:rsid w:val="00D01E90"/>
    <w:rsid w:val="00D01FE5"/>
    <w:rsid w:val="00D1773A"/>
    <w:rsid w:val="00D2740E"/>
    <w:rsid w:val="00D31A33"/>
    <w:rsid w:val="00D400C0"/>
    <w:rsid w:val="00D52AF8"/>
    <w:rsid w:val="00D54856"/>
    <w:rsid w:val="00D72A3B"/>
    <w:rsid w:val="00D80640"/>
    <w:rsid w:val="00D812DF"/>
    <w:rsid w:val="00DB2C12"/>
    <w:rsid w:val="00DB7382"/>
    <w:rsid w:val="00DE5241"/>
    <w:rsid w:val="00DE590A"/>
    <w:rsid w:val="00DF20E0"/>
    <w:rsid w:val="00DF2ACC"/>
    <w:rsid w:val="00DF78BE"/>
    <w:rsid w:val="00E17BFA"/>
    <w:rsid w:val="00E20399"/>
    <w:rsid w:val="00E25C4D"/>
    <w:rsid w:val="00E31049"/>
    <w:rsid w:val="00E322AE"/>
    <w:rsid w:val="00E423D8"/>
    <w:rsid w:val="00E63317"/>
    <w:rsid w:val="00E66851"/>
    <w:rsid w:val="00E81307"/>
    <w:rsid w:val="00E86B97"/>
    <w:rsid w:val="00E973AA"/>
    <w:rsid w:val="00EB145D"/>
    <w:rsid w:val="00EB59DC"/>
    <w:rsid w:val="00ED1809"/>
    <w:rsid w:val="00ED5C13"/>
    <w:rsid w:val="00EF1460"/>
    <w:rsid w:val="00EF1A31"/>
    <w:rsid w:val="00EF4E8C"/>
    <w:rsid w:val="00EF63EE"/>
    <w:rsid w:val="00F33796"/>
    <w:rsid w:val="00F57011"/>
    <w:rsid w:val="00F6107D"/>
    <w:rsid w:val="00F77BA7"/>
    <w:rsid w:val="00F907E7"/>
    <w:rsid w:val="00F959FE"/>
    <w:rsid w:val="00FB1F11"/>
    <w:rsid w:val="00FC7835"/>
    <w:rsid w:val="00FE7B73"/>
    <w:rsid w:val="00FF35F5"/>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C301B3B"/>
  <w14:defaultImageDpi w14:val="300"/>
  <w15:docId w15:val="{F78F426D-0E79-4B83-AFF2-99952F7F4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32071"/>
    <w:pPr>
      <w:spacing w:after="240" w:line="276" w:lineRule="auto"/>
    </w:pPr>
    <w:rPr>
      <w:rFonts w:ascii="Times New Roman" w:eastAsia="Times New Roman" w:hAnsi="Times New Roman" w:cs="Times New Roman"/>
      <w:lang w:val="en-US"/>
    </w:rPr>
  </w:style>
  <w:style w:type="paragraph" w:styleId="Heading1">
    <w:name w:val="heading 1"/>
    <w:basedOn w:val="Normal"/>
    <w:next w:val="Normal"/>
    <w:link w:val="Heading1Char"/>
    <w:uiPriority w:val="9"/>
    <w:qFormat/>
    <w:rsid w:val="006B4A34"/>
    <w:pPr>
      <w:keepNext/>
      <w:keepLines/>
      <w:numPr>
        <w:numId w:val="1"/>
      </w:numPr>
      <w:spacing w:before="480"/>
      <w:outlineLvl w:val="0"/>
    </w:pPr>
    <w:rPr>
      <w:rFonts w:eastAsiaTheme="majorEastAsia" w:cstheme="majorBidi"/>
      <w:b/>
      <w:bCs/>
      <w:szCs w:val="32"/>
    </w:rPr>
  </w:style>
  <w:style w:type="paragraph" w:styleId="Heading2">
    <w:name w:val="heading 2"/>
    <w:basedOn w:val="Normal"/>
    <w:next w:val="Normal"/>
    <w:link w:val="Heading2Char"/>
    <w:uiPriority w:val="9"/>
    <w:unhideWhenUsed/>
    <w:qFormat/>
    <w:rsid w:val="006B4A34"/>
    <w:pPr>
      <w:keepNext/>
      <w:keepLines/>
      <w:numPr>
        <w:ilvl w:val="1"/>
        <w:numId w:val="1"/>
      </w:numPr>
      <w:spacing w:before="20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76B45"/>
    <w:pPr>
      <w:keepNext/>
      <w:keepLines/>
      <w:numPr>
        <w:ilvl w:val="2"/>
        <w:numId w:val="1"/>
      </w:numPr>
      <w:spacing w:before="200"/>
      <w:outlineLvl w:val="2"/>
    </w:pPr>
    <w:rPr>
      <w:rFonts w:eastAsiaTheme="majorEastAsia" w:cstheme="majorBidi"/>
      <w:b/>
      <w:bCs/>
    </w:rPr>
  </w:style>
  <w:style w:type="paragraph" w:styleId="Heading4">
    <w:name w:val="heading 4"/>
    <w:basedOn w:val="Normal"/>
    <w:next w:val="Normal"/>
    <w:link w:val="Heading4Char"/>
    <w:uiPriority w:val="9"/>
    <w:semiHidden/>
    <w:unhideWhenUsed/>
    <w:qFormat/>
    <w:rsid w:val="006B4A34"/>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B4A34"/>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B4A34"/>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6B4A34"/>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B4A34"/>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B4A34"/>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4A34"/>
    <w:rPr>
      <w:rFonts w:ascii="Times New Roman" w:eastAsiaTheme="majorEastAsia" w:hAnsi="Times New Roman" w:cstheme="majorBidi"/>
      <w:b/>
      <w:bCs/>
      <w:szCs w:val="26"/>
      <w:lang w:val="en-US"/>
    </w:rPr>
  </w:style>
  <w:style w:type="character" w:customStyle="1" w:styleId="Heading1Char">
    <w:name w:val="Heading 1 Char"/>
    <w:basedOn w:val="DefaultParagraphFont"/>
    <w:link w:val="Heading1"/>
    <w:uiPriority w:val="9"/>
    <w:rsid w:val="006B4A34"/>
    <w:rPr>
      <w:rFonts w:ascii="Times New Roman" w:eastAsiaTheme="majorEastAsia" w:hAnsi="Times New Roman" w:cstheme="majorBidi"/>
      <w:b/>
      <w:bCs/>
      <w:szCs w:val="32"/>
      <w:lang w:val="en-US"/>
    </w:rPr>
  </w:style>
  <w:style w:type="character" w:customStyle="1" w:styleId="Heading3Char">
    <w:name w:val="Heading 3 Char"/>
    <w:basedOn w:val="DefaultParagraphFont"/>
    <w:link w:val="Heading3"/>
    <w:uiPriority w:val="9"/>
    <w:rsid w:val="00C76B45"/>
    <w:rPr>
      <w:rFonts w:ascii="Times New Roman" w:eastAsiaTheme="majorEastAsia" w:hAnsi="Times New Roman" w:cstheme="majorBidi"/>
      <w:b/>
      <w:bCs/>
      <w:lang w:val="en-US"/>
    </w:rPr>
  </w:style>
  <w:style w:type="character" w:customStyle="1" w:styleId="Heading4Char">
    <w:name w:val="Heading 4 Char"/>
    <w:basedOn w:val="DefaultParagraphFont"/>
    <w:link w:val="Heading4"/>
    <w:uiPriority w:val="9"/>
    <w:semiHidden/>
    <w:rsid w:val="006B4A34"/>
    <w:rPr>
      <w:rFonts w:asciiTheme="majorHAnsi" w:eastAsiaTheme="majorEastAsia" w:hAnsiTheme="majorHAnsi" w:cstheme="majorBidi"/>
      <w:b/>
      <w:bCs/>
      <w:i/>
      <w:iCs/>
      <w:color w:val="4F81BD" w:themeColor="accent1"/>
      <w:lang w:val="en-US"/>
    </w:rPr>
  </w:style>
  <w:style w:type="character" w:customStyle="1" w:styleId="Heading5Char">
    <w:name w:val="Heading 5 Char"/>
    <w:basedOn w:val="DefaultParagraphFont"/>
    <w:link w:val="Heading5"/>
    <w:uiPriority w:val="9"/>
    <w:semiHidden/>
    <w:rsid w:val="006B4A34"/>
    <w:rPr>
      <w:rFonts w:asciiTheme="majorHAnsi" w:eastAsiaTheme="majorEastAsia" w:hAnsiTheme="majorHAnsi" w:cstheme="majorBidi"/>
      <w:color w:val="243F60" w:themeColor="accent1" w:themeShade="7F"/>
      <w:lang w:val="en-US"/>
    </w:rPr>
  </w:style>
  <w:style w:type="character" w:customStyle="1" w:styleId="Heading6Char">
    <w:name w:val="Heading 6 Char"/>
    <w:basedOn w:val="DefaultParagraphFont"/>
    <w:link w:val="Heading6"/>
    <w:uiPriority w:val="9"/>
    <w:semiHidden/>
    <w:rsid w:val="006B4A34"/>
    <w:rPr>
      <w:rFonts w:asciiTheme="majorHAnsi" w:eastAsiaTheme="majorEastAsia" w:hAnsiTheme="majorHAnsi" w:cstheme="majorBidi"/>
      <w:i/>
      <w:iCs/>
      <w:color w:val="243F60" w:themeColor="accent1" w:themeShade="7F"/>
      <w:lang w:val="en-US"/>
    </w:rPr>
  </w:style>
  <w:style w:type="character" w:customStyle="1" w:styleId="Heading7Char">
    <w:name w:val="Heading 7 Char"/>
    <w:basedOn w:val="DefaultParagraphFont"/>
    <w:link w:val="Heading7"/>
    <w:uiPriority w:val="9"/>
    <w:semiHidden/>
    <w:rsid w:val="006B4A34"/>
    <w:rPr>
      <w:rFonts w:asciiTheme="majorHAnsi" w:eastAsiaTheme="majorEastAsia" w:hAnsiTheme="majorHAnsi" w:cstheme="majorBidi"/>
      <w:i/>
      <w:iCs/>
      <w:color w:val="404040" w:themeColor="text1" w:themeTint="BF"/>
      <w:lang w:val="en-US"/>
    </w:rPr>
  </w:style>
  <w:style w:type="character" w:customStyle="1" w:styleId="Heading8Char">
    <w:name w:val="Heading 8 Char"/>
    <w:basedOn w:val="DefaultParagraphFont"/>
    <w:link w:val="Heading8"/>
    <w:uiPriority w:val="9"/>
    <w:semiHidden/>
    <w:rsid w:val="006B4A34"/>
    <w:rPr>
      <w:rFonts w:asciiTheme="majorHAnsi" w:eastAsiaTheme="majorEastAsia" w:hAnsiTheme="majorHAnsi" w:cstheme="majorBidi"/>
      <w:color w:val="404040" w:themeColor="text1" w:themeTint="BF"/>
      <w:sz w:val="20"/>
      <w:szCs w:val="20"/>
      <w:lang w:val="en-US"/>
    </w:rPr>
  </w:style>
  <w:style w:type="character" w:customStyle="1" w:styleId="Heading9Char">
    <w:name w:val="Heading 9 Char"/>
    <w:basedOn w:val="DefaultParagraphFont"/>
    <w:link w:val="Heading9"/>
    <w:uiPriority w:val="9"/>
    <w:semiHidden/>
    <w:rsid w:val="006B4A34"/>
    <w:rPr>
      <w:rFonts w:asciiTheme="majorHAnsi" w:eastAsiaTheme="majorEastAsia" w:hAnsiTheme="majorHAnsi" w:cstheme="majorBidi"/>
      <w:i/>
      <w:iCs/>
      <w:color w:val="404040" w:themeColor="text1" w:themeTint="BF"/>
      <w:sz w:val="20"/>
      <w:szCs w:val="20"/>
      <w:lang w:val="en-US"/>
    </w:rPr>
  </w:style>
  <w:style w:type="paragraph" w:styleId="FootnoteText">
    <w:name w:val="footnote text"/>
    <w:basedOn w:val="Normal"/>
    <w:link w:val="FootnoteTextChar"/>
    <w:semiHidden/>
    <w:rsid w:val="00624E83"/>
    <w:pPr>
      <w:spacing w:line="240" w:lineRule="auto"/>
      <w:jc w:val="both"/>
    </w:pPr>
    <w:rPr>
      <w:sz w:val="20"/>
      <w:szCs w:val="20"/>
    </w:rPr>
  </w:style>
  <w:style w:type="character" w:customStyle="1" w:styleId="FootnoteTextChar">
    <w:name w:val="Footnote Text Char"/>
    <w:basedOn w:val="DefaultParagraphFont"/>
    <w:link w:val="FootnoteText"/>
    <w:semiHidden/>
    <w:rsid w:val="00624E83"/>
    <w:rPr>
      <w:rFonts w:ascii="Times New Roman" w:eastAsia="Times New Roman" w:hAnsi="Times New Roman" w:cs="Times New Roman"/>
      <w:sz w:val="20"/>
      <w:szCs w:val="20"/>
      <w:lang w:val="en-US"/>
    </w:rPr>
  </w:style>
  <w:style w:type="character" w:styleId="FootnoteReference">
    <w:name w:val="footnote reference"/>
    <w:basedOn w:val="DefaultParagraphFont"/>
    <w:semiHidden/>
    <w:rsid w:val="00624E83"/>
    <w:rPr>
      <w:rFonts w:cs="Times New Roman"/>
      <w:vertAlign w:val="superscript"/>
    </w:rPr>
  </w:style>
  <w:style w:type="paragraph" w:customStyle="1" w:styleId="Hypothesis">
    <w:name w:val="Hypothesis"/>
    <w:basedOn w:val="Normal"/>
    <w:qFormat/>
    <w:rsid w:val="00AC439B"/>
    <w:pPr>
      <w:spacing w:before="240"/>
      <w:ind w:left="720"/>
    </w:pPr>
    <w:rPr>
      <w:i/>
    </w:rPr>
  </w:style>
  <w:style w:type="paragraph" w:customStyle="1" w:styleId="StyleCalibri10ptLeftBefore2ptAfter2ptLinespaci">
    <w:name w:val="Style Calibri 10 pt Left Before:  2 pt After:  2 pt Line spaci..."/>
    <w:basedOn w:val="Normal"/>
    <w:rsid w:val="00B55E98"/>
    <w:pPr>
      <w:numPr>
        <w:numId w:val="2"/>
      </w:numPr>
      <w:spacing w:after="0" w:line="480" w:lineRule="auto"/>
      <w:jc w:val="both"/>
    </w:pPr>
  </w:style>
  <w:style w:type="paragraph" w:styleId="ListParagraph">
    <w:name w:val="List Paragraph"/>
    <w:basedOn w:val="Normal"/>
    <w:uiPriority w:val="34"/>
    <w:qFormat/>
    <w:rsid w:val="001E02CB"/>
    <w:pPr>
      <w:ind w:left="720"/>
      <w:contextualSpacing/>
    </w:pPr>
  </w:style>
  <w:style w:type="paragraph" w:styleId="BalloonText">
    <w:name w:val="Balloon Text"/>
    <w:basedOn w:val="Normal"/>
    <w:link w:val="BalloonTextChar"/>
    <w:uiPriority w:val="99"/>
    <w:semiHidden/>
    <w:unhideWhenUsed/>
    <w:rsid w:val="002F1FB6"/>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2F1FB6"/>
    <w:rPr>
      <w:rFonts w:ascii="Lucida Grande" w:eastAsia="Times New Roman" w:hAnsi="Lucida Grande" w:cs="Times New Roman"/>
      <w:sz w:val="18"/>
      <w:szCs w:val="18"/>
      <w:lang w:val="en-US"/>
    </w:rPr>
  </w:style>
  <w:style w:type="table" w:styleId="TableGrid">
    <w:name w:val="Table Grid"/>
    <w:basedOn w:val="TableNormal"/>
    <w:uiPriority w:val="59"/>
    <w:rsid w:val="00BD5F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6594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PlainText">
    <w:name w:val="Plain Text"/>
    <w:basedOn w:val="Normal"/>
    <w:link w:val="PlainTextChar"/>
    <w:rsid w:val="003D1FA7"/>
    <w:pPr>
      <w:overflowPunct w:val="0"/>
      <w:autoSpaceDE w:val="0"/>
      <w:autoSpaceDN w:val="0"/>
      <w:adjustRightInd w:val="0"/>
      <w:spacing w:after="120" w:line="240" w:lineRule="auto"/>
      <w:textAlignment w:val="baseline"/>
    </w:pPr>
    <w:rPr>
      <w:rFonts w:ascii="Courier New" w:hAnsi="Courier New" w:cs="Courier New"/>
      <w:sz w:val="20"/>
      <w:szCs w:val="20"/>
    </w:rPr>
  </w:style>
  <w:style w:type="character" w:customStyle="1" w:styleId="PlainTextChar">
    <w:name w:val="Plain Text Char"/>
    <w:basedOn w:val="DefaultParagraphFont"/>
    <w:link w:val="PlainText"/>
    <w:rsid w:val="003D1FA7"/>
    <w:rPr>
      <w:rFonts w:ascii="Courier New" w:eastAsia="Times New Roman" w:hAnsi="Courier New" w:cs="Courier New"/>
      <w:sz w:val="20"/>
      <w:szCs w:val="20"/>
      <w:lang w:val="en-US"/>
    </w:rPr>
  </w:style>
  <w:style w:type="character" w:styleId="PlaceholderText">
    <w:name w:val="Placeholder Text"/>
    <w:basedOn w:val="DefaultParagraphFont"/>
    <w:uiPriority w:val="99"/>
    <w:semiHidden/>
    <w:rsid w:val="001D5C38"/>
    <w:rPr>
      <w:color w:val="808080"/>
    </w:rPr>
  </w:style>
  <w:style w:type="character" w:styleId="Hyperlink">
    <w:name w:val="Hyperlink"/>
    <w:basedOn w:val="DefaultParagraphFont"/>
    <w:uiPriority w:val="99"/>
    <w:unhideWhenUsed/>
    <w:rsid w:val="0073623B"/>
    <w:rPr>
      <w:color w:val="0000FF" w:themeColor="hyperlink"/>
      <w:u w:val="single"/>
    </w:rPr>
  </w:style>
  <w:style w:type="paragraph" w:styleId="Footer">
    <w:name w:val="footer"/>
    <w:basedOn w:val="Normal"/>
    <w:link w:val="FooterChar"/>
    <w:uiPriority w:val="99"/>
    <w:unhideWhenUsed/>
    <w:rsid w:val="00CC30B6"/>
    <w:pPr>
      <w:tabs>
        <w:tab w:val="center" w:pos="4320"/>
        <w:tab w:val="right" w:pos="8640"/>
      </w:tabs>
      <w:spacing w:after="0" w:line="240" w:lineRule="auto"/>
    </w:pPr>
  </w:style>
  <w:style w:type="character" w:customStyle="1" w:styleId="FooterChar">
    <w:name w:val="Footer Char"/>
    <w:basedOn w:val="DefaultParagraphFont"/>
    <w:link w:val="Footer"/>
    <w:uiPriority w:val="99"/>
    <w:rsid w:val="00CC30B6"/>
    <w:rPr>
      <w:rFonts w:ascii="Times New Roman" w:eastAsia="Times New Roman" w:hAnsi="Times New Roman" w:cs="Times New Roman"/>
      <w:lang w:val="en-US"/>
    </w:rPr>
  </w:style>
  <w:style w:type="character" w:styleId="PageNumber">
    <w:name w:val="page number"/>
    <w:basedOn w:val="DefaultParagraphFont"/>
    <w:uiPriority w:val="99"/>
    <w:semiHidden/>
    <w:unhideWhenUsed/>
    <w:rsid w:val="00CC30B6"/>
  </w:style>
  <w:style w:type="paragraph" w:styleId="DocumentMap">
    <w:name w:val="Document Map"/>
    <w:basedOn w:val="Normal"/>
    <w:link w:val="DocumentMapChar"/>
    <w:uiPriority w:val="99"/>
    <w:semiHidden/>
    <w:unhideWhenUsed/>
    <w:rsid w:val="00B21574"/>
    <w:pPr>
      <w:spacing w:after="0" w:line="240" w:lineRule="auto"/>
    </w:pPr>
    <w:rPr>
      <w:rFonts w:ascii="Lucida Grande" w:hAnsi="Lucida Grande" w:cs="Lucida Grande"/>
    </w:rPr>
  </w:style>
  <w:style w:type="character" w:customStyle="1" w:styleId="DocumentMapChar">
    <w:name w:val="Document Map Char"/>
    <w:basedOn w:val="DefaultParagraphFont"/>
    <w:link w:val="DocumentMap"/>
    <w:uiPriority w:val="99"/>
    <w:semiHidden/>
    <w:rsid w:val="00B21574"/>
    <w:rPr>
      <w:rFonts w:ascii="Lucida Grande" w:eastAsia="Times New Roman" w:hAnsi="Lucida Grande" w:cs="Lucida Grande"/>
      <w:lang w:val="en-US"/>
    </w:rPr>
  </w:style>
  <w:style w:type="paragraph" w:styleId="Header">
    <w:name w:val="header"/>
    <w:basedOn w:val="Normal"/>
    <w:link w:val="HeaderChar"/>
    <w:uiPriority w:val="99"/>
    <w:unhideWhenUsed/>
    <w:rsid w:val="00076D92"/>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6D92"/>
    <w:rPr>
      <w:rFonts w:ascii="Times New Roman" w:eastAsia="Times New Roman" w:hAnsi="Times New Roman" w:cs="Times New Roman"/>
      <w:lang w:val="en-US"/>
    </w:rPr>
  </w:style>
  <w:style w:type="paragraph" w:styleId="Revision">
    <w:name w:val="Revision"/>
    <w:hidden/>
    <w:uiPriority w:val="99"/>
    <w:semiHidden/>
    <w:rsid w:val="00F57011"/>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526461">
      <w:bodyDiv w:val="1"/>
      <w:marLeft w:val="0"/>
      <w:marRight w:val="0"/>
      <w:marTop w:val="0"/>
      <w:marBottom w:val="0"/>
      <w:divBdr>
        <w:top w:val="none" w:sz="0" w:space="0" w:color="auto"/>
        <w:left w:val="none" w:sz="0" w:space="0" w:color="auto"/>
        <w:bottom w:val="none" w:sz="0" w:space="0" w:color="auto"/>
        <w:right w:val="none" w:sz="0" w:space="0" w:color="auto"/>
      </w:divBdr>
    </w:div>
    <w:div w:id="134874612">
      <w:bodyDiv w:val="1"/>
      <w:marLeft w:val="0"/>
      <w:marRight w:val="0"/>
      <w:marTop w:val="0"/>
      <w:marBottom w:val="0"/>
      <w:divBdr>
        <w:top w:val="none" w:sz="0" w:space="0" w:color="auto"/>
        <w:left w:val="none" w:sz="0" w:space="0" w:color="auto"/>
        <w:bottom w:val="none" w:sz="0" w:space="0" w:color="auto"/>
        <w:right w:val="none" w:sz="0" w:space="0" w:color="auto"/>
      </w:divBdr>
    </w:div>
    <w:div w:id="284578541">
      <w:bodyDiv w:val="1"/>
      <w:marLeft w:val="0"/>
      <w:marRight w:val="0"/>
      <w:marTop w:val="0"/>
      <w:marBottom w:val="0"/>
      <w:divBdr>
        <w:top w:val="none" w:sz="0" w:space="0" w:color="auto"/>
        <w:left w:val="none" w:sz="0" w:space="0" w:color="auto"/>
        <w:bottom w:val="none" w:sz="0" w:space="0" w:color="auto"/>
        <w:right w:val="none" w:sz="0" w:space="0" w:color="auto"/>
      </w:divBdr>
      <w:divsChild>
        <w:div w:id="154687823">
          <w:marLeft w:val="547"/>
          <w:marRight w:val="0"/>
          <w:marTop w:val="115"/>
          <w:marBottom w:val="0"/>
          <w:divBdr>
            <w:top w:val="none" w:sz="0" w:space="0" w:color="auto"/>
            <w:left w:val="none" w:sz="0" w:space="0" w:color="auto"/>
            <w:bottom w:val="none" w:sz="0" w:space="0" w:color="auto"/>
            <w:right w:val="none" w:sz="0" w:space="0" w:color="auto"/>
          </w:divBdr>
        </w:div>
        <w:div w:id="243610380">
          <w:marLeft w:val="547"/>
          <w:marRight w:val="0"/>
          <w:marTop w:val="115"/>
          <w:marBottom w:val="0"/>
          <w:divBdr>
            <w:top w:val="none" w:sz="0" w:space="0" w:color="auto"/>
            <w:left w:val="none" w:sz="0" w:space="0" w:color="auto"/>
            <w:bottom w:val="none" w:sz="0" w:space="0" w:color="auto"/>
            <w:right w:val="none" w:sz="0" w:space="0" w:color="auto"/>
          </w:divBdr>
        </w:div>
        <w:div w:id="379285888">
          <w:marLeft w:val="547"/>
          <w:marRight w:val="0"/>
          <w:marTop w:val="115"/>
          <w:marBottom w:val="0"/>
          <w:divBdr>
            <w:top w:val="none" w:sz="0" w:space="0" w:color="auto"/>
            <w:left w:val="none" w:sz="0" w:space="0" w:color="auto"/>
            <w:bottom w:val="none" w:sz="0" w:space="0" w:color="auto"/>
            <w:right w:val="none" w:sz="0" w:space="0" w:color="auto"/>
          </w:divBdr>
        </w:div>
        <w:div w:id="1014770681">
          <w:marLeft w:val="547"/>
          <w:marRight w:val="0"/>
          <w:marTop w:val="115"/>
          <w:marBottom w:val="0"/>
          <w:divBdr>
            <w:top w:val="none" w:sz="0" w:space="0" w:color="auto"/>
            <w:left w:val="none" w:sz="0" w:space="0" w:color="auto"/>
            <w:bottom w:val="none" w:sz="0" w:space="0" w:color="auto"/>
            <w:right w:val="none" w:sz="0" w:space="0" w:color="auto"/>
          </w:divBdr>
        </w:div>
      </w:divsChild>
    </w:div>
    <w:div w:id="290786627">
      <w:bodyDiv w:val="1"/>
      <w:marLeft w:val="0"/>
      <w:marRight w:val="0"/>
      <w:marTop w:val="0"/>
      <w:marBottom w:val="0"/>
      <w:divBdr>
        <w:top w:val="none" w:sz="0" w:space="0" w:color="auto"/>
        <w:left w:val="none" w:sz="0" w:space="0" w:color="auto"/>
        <w:bottom w:val="none" w:sz="0" w:space="0" w:color="auto"/>
        <w:right w:val="none" w:sz="0" w:space="0" w:color="auto"/>
      </w:divBdr>
    </w:div>
    <w:div w:id="618225800">
      <w:bodyDiv w:val="1"/>
      <w:marLeft w:val="0"/>
      <w:marRight w:val="0"/>
      <w:marTop w:val="0"/>
      <w:marBottom w:val="0"/>
      <w:divBdr>
        <w:top w:val="none" w:sz="0" w:space="0" w:color="auto"/>
        <w:left w:val="none" w:sz="0" w:space="0" w:color="auto"/>
        <w:bottom w:val="none" w:sz="0" w:space="0" w:color="auto"/>
        <w:right w:val="none" w:sz="0" w:space="0" w:color="auto"/>
      </w:divBdr>
    </w:div>
    <w:div w:id="627853070">
      <w:bodyDiv w:val="1"/>
      <w:marLeft w:val="0"/>
      <w:marRight w:val="0"/>
      <w:marTop w:val="0"/>
      <w:marBottom w:val="0"/>
      <w:divBdr>
        <w:top w:val="none" w:sz="0" w:space="0" w:color="auto"/>
        <w:left w:val="none" w:sz="0" w:space="0" w:color="auto"/>
        <w:bottom w:val="none" w:sz="0" w:space="0" w:color="auto"/>
        <w:right w:val="none" w:sz="0" w:space="0" w:color="auto"/>
      </w:divBdr>
    </w:div>
    <w:div w:id="870530568">
      <w:bodyDiv w:val="1"/>
      <w:marLeft w:val="0"/>
      <w:marRight w:val="0"/>
      <w:marTop w:val="0"/>
      <w:marBottom w:val="0"/>
      <w:divBdr>
        <w:top w:val="none" w:sz="0" w:space="0" w:color="auto"/>
        <w:left w:val="none" w:sz="0" w:space="0" w:color="auto"/>
        <w:bottom w:val="none" w:sz="0" w:space="0" w:color="auto"/>
        <w:right w:val="none" w:sz="0" w:space="0" w:color="auto"/>
      </w:divBdr>
    </w:div>
    <w:div w:id="1131166627">
      <w:bodyDiv w:val="1"/>
      <w:marLeft w:val="0"/>
      <w:marRight w:val="0"/>
      <w:marTop w:val="0"/>
      <w:marBottom w:val="0"/>
      <w:divBdr>
        <w:top w:val="none" w:sz="0" w:space="0" w:color="auto"/>
        <w:left w:val="none" w:sz="0" w:space="0" w:color="auto"/>
        <w:bottom w:val="none" w:sz="0" w:space="0" w:color="auto"/>
        <w:right w:val="none" w:sz="0" w:space="0" w:color="auto"/>
      </w:divBdr>
    </w:div>
    <w:div w:id="1133713841">
      <w:bodyDiv w:val="1"/>
      <w:marLeft w:val="0"/>
      <w:marRight w:val="0"/>
      <w:marTop w:val="0"/>
      <w:marBottom w:val="0"/>
      <w:divBdr>
        <w:top w:val="none" w:sz="0" w:space="0" w:color="auto"/>
        <w:left w:val="none" w:sz="0" w:space="0" w:color="auto"/>
        <w:bottom w:val="none" w:sz="0" w:space="0" w:color="auto"/>
        <w:right w:val="none" w:sz="0" w:space="0" w:color="auto"/>
      </w:divBdr>
    </w:div>
    <w:div w:id="1264267547">
      <w:bodyDiv w:val="1"/>
      <w:marLeft w:val="0"/>
      <w:marRight w:val="0"/>
      <w:marTop w:val="0"/>
      <w:marBottom w:val="0"/>
      <w:divBdr>
        <w:top w:val="none" w:sz="0" w:space="0" w:color="auto"/>
        <w:left w:val="none" w:sz="0" w:space="0" w:color="auto"/>
        <w:bottom w:val="none" w:sz="0" w:space="0" w:color="auto"/>
        <w:right w:val="none" w:sz="0" w:space="0" w:color="auto"/>
      </w:divBdr>
    </w:div>
    <w:div w:id="1435009020">
      <w:bodyDiv w:val="1"/>
      <w:marLeft w:val="0"/>
      <w:marRight w:val="0"/>
      <w:marTop w:val="0"/>
      <w:marBottom w:val="0"/>
      <w:divBdr>
        <w:top w:val="none" w:sz="0" w:space="0" w:color="auto"/>
        <w:left w:val="none" w:sz="0" w:space="0" w:color="auto"/>
        <w:bottom w:val="none" w:sz="0" w:space="0" w:color="auto"/>
        <w:right w:val="none" w:sz="0" w:space="0" w:color="auto"/>
      </w:divBdr>
    </w:div>
    <w:div w:id="1453934581">
      <w:bodyDiv w:val="1"/>
      <w:marLeft w:val="0"/>
      <w:marRight w:val="0"/>
      <w:marTop w:val="0"/>
      <w:marBottom w:val="0"/>
      <w:divBdr>
        <w:top w:val="none" w:sz="0" w:space="0" w:color="auto"/>
        <w:left w:val="none" w:sz="0" w:space="0" w:color="auto"/>
        <w:bottom w:val="none" w:sz="0" w:space="0" w:color="auto"/>
        <w:right w:val="none" w:sz="0" w:space="0" w:color="auto"/>
      </w:divBdr>
    </w:div>
    <w:div w:id="1663896924">
      <w:bodyDiv w:val="1"/>
      <w:marLeft w:val="0"/>
      <w:marRight w:val="0"/>
      <w:marTop w:val="0"/>
      <w:marBottom w:val="0"/>
      <w:divBdr>
        <w:top w:val="none" w:sz="0" w:space="0" w:color="auto"/>
        <w:left w:val="none" w:sz="0" w:space="0" w:color="auto"/>
        <w:bottom w:val="none" w:sz="0" w:space="0" w:color="auto"/>
        <w:right w:val="none" w:sz="0" w:space="0" w:color="auto"/>
      </w:divBdr>
    </w:div>
    <w:div w:id="1690447424">
      <w:bodyDiv w:val="1"/>
      <w:marLeft w:val="0"/>
      <w:marRight w:val="0"/>
      <w:marTop w:val="0"/>
      <w:marBottom w:val="0"/>
      <w:divBdr>
        <w:top w:val="none" w:sz="0" w:space="0" w:color="auto"/>
        <w:left w:val="none" w:sz="0" w:space="0" w:color="auto"/>
        <w:bottom w:val="none" w:sz="0" w:space="0" w:color="auto"/>
        <w:right w:val="none" w:sz="0" w:space="0" w:color="auto"/>
      </w:divBdr>
    </w:div>
    <w:div w:id="1948343298">
      <w:bodyDiv w:val="1"/>
      <w:marLeft w:val="0"/>
      <w:marRight w:val="0"/>
      <w:marTop w:val="0"/>
      <w:marBottom w:val="0"/>
      <w:divBdr>
        <w:top w:val="none" w:sz="0" w:space="0" w:color="auto"/>
        <w:left w:val="none" w:sz="0" w:space="0" w:color="auto"/>
        <w:bottom w:val="none" w:sz="0" w:space="0" w:color="auto"/>
        <w:right w:val="none" w:sz="0" w:space="0" w:color="auto"/>
      </w:divBdr>
      <w:divsChild>
        <w:div w:id="779303977">
          <w:marLeft w:val="547"/>
          <w:marRight w:val="0"/>
          <w:marTop w:val="115"/>
          <w:marBottom w:val="0"/>
          <w:divBdr>
            <w:top w:val="none" w:sz="0" w:space="0" w:color="auto"/>
            <w:left w:val="none" w:sz="0" w:space="0" w:color="auto"/>
            <w:bottom w:val="none" w:sz="0" w:space="0" w:color="auto"/>
            <w:right w:val="none" w:sz="0" w:space="0" w:color="auto"/>
          </w:divBdr>
        </w:div>
        <w:div w:id="1098677183">
          <w:marLeft w:val="1166"/>
          <w:marRight w:val="0"/>
          <w:marTop w:val="115"/>
          <w:marBottom w:val="0"/>
          <w:divBdr>
            <w:top w:val="none" w:sz="0" w:space="0" w:color="auto"/>
            <w:left w:val="none" w:sz="0" w:space="0" w:color="auto"/>
            <w:bottom w:val="none" w:sz="0" w:space="0" w:color="auto"/>
            <w:right w:val="none" w:sz="0" w:space="0" w:color="auto"/>
          </w:divBdr>
        </w:div>
        <w:div w:id="1984657464">
          <w:marLeft w:val="1166"/>
          <w:marRight w:val="0"/>
          <w:marTop w:val="115"/>
          <w:marBottom w:val="0"/>
          <w:divBdr>
            <w:top w:val="none" w:sz="0" w:space="0" w:color="auto"/>
            <w:left w:val="none" w:sz="0" w:space="0" w:color="auto"/>
            <w:bottom w:val="none" w:sz="0" w:space="0" w:color="auto"/>
            <w:right w:val="none" w:sz="0" w:space="0" w:color="auto"/>
          </w:divBdr>
        </w:div>
        <w:div w:id="1480418580">
          <w:marLeft w:val="1166"/>
          <w:marRight w:val="0"/>
          <w:marTop w:val="115"/>
          <w:marBottom w:val="0"/>
          <w:divBdr>
            <w:top w:val="none" w:sz="0" w:space="0" w:color="auto"/>
            <w:left w:val="none" w:sz="0" w:space="0" w:color="auto"/>
            <w:bottom w:val="none" w:sz="0" w:space="0" w:color="auto"/>
            <w:right w:val="none" w:sz="0" w:space="0" w:color="auto"/>
          </w:divBdr>
        </w:div>
        <w:div w:id="99035996">
          <w:marLeft w:val="547"/>
          <w:marRight w:val="0"/>
          <w:marTop w:val="115"/>
          <w:marBottom w:val="0"/>
          <w:divBdr>
            <w:top w:val="none" w:sz="0" w:space="0" w:color="auto"/>
            <w:left w:val="none" w:sz="0" w:space="0" w:color="auto"/>
            <w:bottom w:val="none" w:sz="0" w:space="0" w:color="auto"/>
            <w:right w:val="none" w:sz="0" w:space="0" w:color="auto"/>
          </w:divBdr>
        </w:div>
      </w:divsChild>
    </w:div>
    <w:div w:id="2062047292">
      <w:bodyDiv w:val="1"/>
      <w:marLeft w:val="0"/>
      <w:marRight w:val="0"/>
      <w:marTop w:val="0"/>
      <w:marBottom w:val="0"/>
      <w:divBdr>
        <w:top w:val="none" w:sz="0" w:space="0" w:color="auto"/>
        <w:left w:val="none" w:sz="0" w:space="0" w:color="auto"/>
        <w:bottom w:val="none" w:sz="0" w:space="0" w:color="auto"/>
        <w:right w:val="none" w:sz="0" w:space="0" w:color="auto"/>
      </w:divBdr>
    </w:div>
    <w:div w:id="2070615622">
      <w:bodyDiv w:val="1"/>
      <w:marLeft w:val="0"/>
      <w:marRight w:val="0"/>
      <w:marTop w:val="0"/>
      <w:marBottom w:val="0"/>
      <w:divBdr>
        <w:top w:val="none" w:sz="0" w:space="0" w:color="auto"/>
        <w:left w:val="none" w:sz="0" w:space="0" w:color="auto"/>
        <w:bottom w:val="none" w:sz="0" w:space="0" w:color="auto"/>
        <w:right w:val="none" w:sz="0" w:space="0" w:color="auto"/>
      </w:divBdr>
      <w:divsChild>
        <w:div w:id="1078750289">
          <w:marLeft w:val="547"/>
          <w:marRight w:val="0"/>
          <w:marTop w:val="115"/>
          <w:marBottom w:val="0"/>
          <w:divBdr>
            <w:top w:val="none" w:sz="0" w:space="0" w:color="auto"/>
            <w:left w:val="none" w:sz="0" w:space="0" w:color="auto"/>
            <w:bottom w:val="none" w:sz="0" w:space="0" w:color="auto"/>
            <w:right w:val="none" w:sz="0" w:space="0" w:color="auto"/>
          </w:divBdr>
        </w:div>
        <w:div w:id="1451625960">
          <w:marLeft w:val="547"/>
          <w:marRight w:val="0"/>
          <w:marTop w:val="115"/>
          <w:marBottom w:val="0"/>
          <w:divBdr>
            <w:top w:val="none" w:sz="0" w:space="0" w:color="auto"/>
            <w:left w:val="none" w:sz="0" w:space="0" w:color="auto"/>
            <w:bottom w:val="none" w:sz="0" w:space="0" w:color="auto"/>
            <w:right w:val="none" w:sz="0" w:space="0" w:color="auto"/>
          </w:divBdr>
        </w:div>
        <w:div w:id="450632792">
          <w:marLeft w:val="547"/>
          <w:marRight w:val="0"/>
          <w:marTop w:val="115"/>
          <w:marBottom w:val="0"/>
          <w:divBdr>
            <w:top w:val="none" w:sz="0" w:space="0" w:color="auto"/>
            <w:left w:val="none" w:sz="0" w:space="0" w:color="auto"/>
            <w:bottom w:val="none" w:sz="0" w:space="0" w:color="auto"/>
            <w:right w:val="none" w:sz="0" w:space="0" w:color="auto"/>
          </w:divBdr>
        </w:div>
        <w:div w:id="1026370843">
          <w:marLeft w:val="547"/>
          <w:marRight w:val="0"/>
          <w:marTop w:val="115"/>
          <w:marBottom w:val="0"/>
          <w:divBdr>
            <w:top w:val="none" w:sz="0" w:space="0" w:color="auto"/>
            <w:left w:val="none" w:sz="0" w:space="0" w:color="auto"/>
            <w:bottom w:val="none" w:sz="0" w:space="0" w:color="auto"/>
            <w:right w:val="none" w:sz="0" w:space="0" w:color="auto"/>
          </w:divBdr>
        </w:div>
      </w:divsChild>
    </w:div>
    <w:div w:id="2079865723">
      <w:bodyDiv w:val="1"/>
      <w:marLeft w:val="0"/>
      <w:marRight w:val="0"/>
      <w:marTop w:val="0"/>
      <w:marBottom w:val="0"/>
      <w:divBdr>
        <w:top w:val="none" w:sz="0" w:space="0" w:color="auto"/>
        <w:left w:val="none" w:sz="0" w:space="0" w:color="auto"/>
        <w:bottom w:val="none" w:sz="0" w:space="0" w:color="auto"/>
        <w:right w:val="none" w:sz="0" w:space="0" w:color="auto"/>
      </w:divBdr>
    </w:div>
    <w:div w:id="2080709783">
      <w:bodyDiv w:val="1"/>
      <w:marLeft w:val="0"/>
      <w:marRight w:val="0"/>
      <w:marTop w:val="0"/>
      <w:marBottom w:val="0"/>
      <w:divBdr>
        <w:top w:val="none" w:sz="0" w:space="0" w:color="auto"/>
        <w:left w:val="none" w:sz="0" w:space="0" w:color="auto"/>
        <w:bottom w:val="none" w:sz="0" w:space="0" w:color="auto"/>
        <w:right w:val="none" w:sz="0" w:space="0" w:color="auto"/>
      </w:divBdr>
      <w:divsChild>
        <w:div w:id="1826161425">
          <w:marLeft w:val="0"/>
          <w:marRight w:val="0"/>
          <w:marTop w:val="150"/>
          <w:marBottom w:val="0"/>
          <w:divBdr>
            <w:top w:val="none" w:sz="0" w:space="0" w:color="auto"/>
            <w:left w:val="none" w:sz="0" w:space="0" w:color="auto"/>
            <w:bottom w:val="none" w:sz="0" w:space="0" w:color="auto"/>
            <w:right w:val="none" w:sz="0" w:space="0" w:color="auto"/>
          </w:divBdr>
        </w:div>
        <w:div w:id="508328785">
          <w:marLeft w:val="0"/>
          <w:marRight w:val="0"/>
          <w:marTop w:val="75"/>
          <w:marBottom w:val="60"/>
          <w:divBdr>
            <w:top w:val="none" w:sz="0" w:space="0" w:color="auto"/>
            <w:left w:val="none" w:sz="0" w:space="0" w:color="auto"/>
            <w:bottom w:val="none" w:sz="0" w:space="0" w:color="auto"/>
            <w:right w:val="none" w:sz="0" w:space="0" w:color="auto"/>
          </w:divBdr>
        </w:div>
      </w:divsChild>
    </w:div>
    <w:div w:id="2096972037">
      <w:bodyDiv w:val="1"/>
      <w:marLeft w:val="0"/>
      <w:marRight w:val="0"/>
      <w:marTop w:val="0"/>
      <w:marBottom w:val="0"/>
      <w:divBdr>
        <w:top w:val="none" w:sz="0" w:space="0" w:color="auto"/>
        <w:left w:val="none" w:sz="0" w:space="0" w:color="auto"/>
        <w:bottom w:val="none" w:sz="0" w:space="0" w:color="auto"/>
        <w:right w:val="none" w:sz="0" w:space="0" w:color="auto"/>
      </w:divBdr>
      <w:divsChild>
        <w:div w:id="1666862806">
          <w:marLeft w:val="547"/>
          <w:marRight w:val="0"/>
          <w:marTop w:val="115"/>
          <w:marBottom w:val="0"/>
          <w:divBdr>
            <w:top w:val="none" w:sz="0" w:space="0" w:color="auto"/>
            <w:left w:val="none" w:sz="0" w:space="0" w:color="auto"/>
            <w:bottom w:val="none" w:sz="0" w:space="0" w:color="auto"/>
            <w:right w:val="none" w:sz="0" w:space="0" w:color="auto"/>
          </w:divBdr>
        </w:div>
        <w:div w:id="1556772494">
          <w:marLeft w:val="547"/>
          <w:marRight w:val="0"/>
          <w:marTop w:val="115"/>
          <w:marBottom w:val="0"/>
          <w:divBdr>
            <w:top w:val="none" w:sz="0" w:space="0" w:color="auto"/>
            <w:left w:val="none" w:sz="0" w:space="0" w:color="auto"/>
            <w:bottom w:val="none" w:sz="0" w:space="0" w:color="auto"/>
            <w:right w:val="none" w:sz="0" w:space="0" w:color="auto"/>
          </w:divBdr>
        </w:div>
        <w:div w:id="1867211279">
          <w:marLeft w:val="547"/>
          <w:marRight w:val="0"/>
          <w:marTop w:val="115"/>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wikstrop:Google%20Drive:projects:music%20chart%20data%20analysis:locations%20music%20diversit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wikstrop:Google%20Drive:projects:music%20chart%20data%20analysis:locations%20music%20diversit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Macintosh%20HD:Users:wikstrop:Google%20Drive:projects:domestic%20music:dms%20v2.0:local%20music%20and%20digital%20distribution%20v003.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snyrr02.csv!$R$2</c:f>
              <c:strCache>
                <c:ptCount val="1"/>
                <c:pt idx="0">
                  <c:v>item</c:v>
                </c:pt>
              </c:strCache>
            </c:strRef>
          </c:tx>
          <c:spPr>
            <a:ln w="63500">
              <a:solidFill>
                <a:schemeClr val="tx1"/>
              </a:solidFill>
            </a:ln>
          </c:spPr>
          <c:marker>
            <c:symbol val="none"/>
          </c:marker>
          <c:cat>
            <c:numRef>
              <c:f>snyrr02.csv!$A$3:$A$22</c:f>
              <c:numCache>
                <c:formatCode>General</c:formatCode>
                <c:ptCount val="20"/>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numCache>
            </c:numRef>
          </c:cat>
          <c:val>
            <c:numRef>
              <c:f>snyrr02.csv!$R$3:$R$22</c:f>
              <c:numCache>
                <c:formatCode>General</c:formatCode>
                <c:ptCount val="20"/>
                <c:pt idx="0">
                  <c:v>0.28466666666666701</c:v>
                </c:pt>
                <c:pt idx="1">
                  <c:v>0.308285714285714</c:v>
                </c:pt>
                <c:pt idx="2">
                  <c:v>0.29171428571428598</c:v>
                </c:pt>
                <c:pt idx="3">
                  <c:v>0.28942857142857098</c:v>
                </c:pt>
                <c:pt idx="4">
                  <c:v>0.27514285714285702</c:v>
                </c:pt>
                <c:pt idx="5">
                  <c:v>0.29657142857142899</c:v>
                </c:pt>
                <c:pt idx="6">
                  <c:v>0.317857142857143</c:v>
                </c:pt>
                <c:pt idx="7">
                  <c:v>0.28764285714285698</c:v>
                </c:pt>
                <c:pt idx="8">
                  <c:v>0.316214285714286</c:v>
                </c:pt>
                <c:pt idx="9">
                  <c:v>0.370285714285714</c:v>
                </c:pt>
                <c:pt idx="10">
                  <c:v>0.374071428571429</c:v>
                </c:pt>
                <c:pt idx="11">
                  <c:v>0.39657142857142902</c:v>
                </c:pt>
                <c:pt idx="12">
                  <c:v>0.40442857142857103</c:v>
                </c:pt>
                <c:pt idx="13">
                  <c:v>0.38885714285714301</c:v>
                </c:pt>
                <c:pt idx="14">
                  <c:v>0.36885714285714299</c:v>
                </c:pt>
                <c:pt idx="15">
                  <c:v>0.34592857142857097</c:v>
                </c:pt>
                <c:pt idx="16">
                  <c:v>0.34392857142857097</c:v>
                </c:pt>
                <c:pt idx="17">
                  <c:v>0.32850000000000001</c:v>
                </c:pt>
                <c:pt idx="18">
                  <c:v>0.33</c:v>
                </c:pt>
                <c:pt idx="19">
                  <c:v>0.32964285714285702</c:v>
                </c:pt>
              </c:numCache>
            </c:numRef>
          </c:val>
          <c:smooth val="0"/>
        </c:ser>
        <c:dLbls>
          <c:showLegendKey val="0"/>
          <c:showVal val="0"/>
          <c:showCatName val="0"/>
          <c:showSerName val="0"/>
          <c:showPercent val="0"/>
          <c:showBubbleSize val="0"/>
        </c:dLbls>
        <c:smooth val="0"/>
        <c:axId val="235322128"/>
        <c:axId val="235321344"/>
      </c:lineChart>
      <c:catAx>
        <c:axId val="235322128"/>
        <c:scaling>
          <c:orientation val="minMax"/>
        </c:scaling>
        <c:delete val="0"/>
        <c:axPos val="b"/>
        <c:numFmt formatCode="General" sourceLinked="1"/>
        <c:majorTickMark val="out"/>
        <c:minorTickMark val="none"/>
        <c:tickLblPos val="nextTo"/>
        <c:crossAx val="235321344"/>
        <c:crosses val="autoZero"/>
        <c:auto val="1"/>
        <c:lblAlgn val="ctr"/>
        <c:lblOffset val="100"/>
        <c:noMultiLvlLbl val="0"/>
      </c:catAx>
      <c:valAx>
        <c:axId val="235321344"/>
        <c:scaling>
          <c:orientation val="minMax"/>
          <c:min val="0.2"/>
        </c:scaling>
        <c:delete val="0"/>
        <c:axPos val="l"/>
        <c:majorGridlines/>
        <c:numFmt formatCode="0%" sourceLinked="0"/>
        <c:majorTickMark val="out"/>
        <c:minorTickMark val="none"/>
        <c:tickLblPos val="nextTo"/>
        <c:crossAx val="235322128"/>
        <c:crosses val="autoZero"/>
        <c:crossBetween val="between"/>
      </c:valAx>
    </c:plotArea>
    <c:plotVisOnly val="1"/>
    <c:dispBlanksAs val="gap"/>
    <c:showDLblsOverMax val="0"/>
  </c:chart>
  <c:spPr>
    <a:ln>
      <a:noFill/>
    </a:ln>
  </c:spPr>
  <c:txPr>
    <a:bodyPr/>
    <a:lstStyle/>
    <a:p>
      <a:pPr>
        <a:defRPr>
          <a:latin typeface="Times New Roman"/>
          <a:cs typeface="Times New Roman"/>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0"/>
  <mc:AlternateContent xmlns:mc="http://schemas.openxmlformats.org/markup-compatibility/2006">
    <mc:Choice xmlns:c14="http://schemas.microsoft.com/office/drawing/2007/8/2/chart" Requires="c14">
      <c14:style val="116"/>
    </mc:Choice>
    <mc:Fallback>
      <c:style val="16"/>
    </mc:Fallback>
  </mc:AlternateContent>
  <c:chart>
    <c:autoTitleDeleted val="1"/>
    <c:plotArea>
      <c:layout/>
      <c:lineChart>
        <c:grouping val="standard"/>
        <c:varyColors val="0"/>
        <c:ser>
          <c:idx val="0"/>
          <c:order val="0"/>
          <c:tx>
            <c:strRef>
              <c:f>snyrr02.csv!$R$2</c:f>
              <c:strCache>
                <c:ptCount val="1"/>
                <c:pt idx="0">
                  <c:v>item</c:v>
                </c:pt>
              </c:strCache>
            </c:strRef>
          </c:tx>
          <c:spPr>
            <a:ln w="63500">
              <a:solidFill>
                <a:schemeClr val="tx1"/>
              </a:solidFill>
            </a:ln>
          </c:spPr>
          <c:marker>
            <c:symbol val="none"/>
          </c:marker>
          <c:cat>
            <c:numRef>
              <c:f>snyrr02.csv!$A$90:$A$109</c:f>
              <c:numCache>
                <c:formatCode>General</c:formatCode>
                <c:ptCount val="20"/>
                <c:pt idx="0">
                  <c:v>1994</c:v>
                </c:pt>
                <c:pt idx="1">
                  <c:v>1995</c:v>
                </c:pt>
                <c:pt idx="2">
                  <c:v>1996</c:v>
                </c:pt>
                <c:pt idx="3">
                  <c:v>1997</c:v>
                </c:pt>
                <c:pt idx="4">
                  <c:v>1998</c:v>
                </c:pt>
                <c:pt idx="5">
                  <c:v>1999</c:v>
                </c:pt>
                <c:pt idx="6">
                  <c:v>2000</c:v>
                </c:pt>
                <c:pt idx="7">
                  <c:v>2001</c:v>
                </c:pt>
                <c:pt idx="8">
                  <c:v>2002</c:v>
                </c:pt>
                <c:pt idx="9">
                  <c:v>2003</c:v>
                </c:pt>
                <c:pt idx="10">
                  <c:v>2004</c:v>
                </c:pt>
                <c:pt idx="11">
                  <c:v>2005</c:v>
                </c:pt>
                <c:pt idx="12">
                  <c:v>2006</c:v>
                </c:pt>
                <c:pt idx="13">
                  <c:v>2007</c:v>
                </c:pt>
                <c:pt idx="14">
                  <c:v>2008</c:v>
                </c:pt>
                <c:pt idx="15">
                  <c:v>2009</c:v>
                </c:pt>
                <c:pt idx="16">
                  <c:v>2010</c:v>
                </c:pt>
                <c:pt idx="17">
                  <c:v>2011</c:v>
                </c:pt>
                <c:pt idx="18">
                  <c:v>2012</c:v>
                </c:pt>
                <c:pt idx="19">
                  <c:v>2013</c:v>
                </c:pt>
              </c:numCache>
            </c:numRef>
          </c:cat>
          <c:val>
            <c:numRef>
              <c:f>snyrr02.csv!$R$90:$R$109</c:f>
              <c:numCache>
                <c:formatCode>General</c:formatCode>
                <c:ptCount val="20"/>
                <c:pt idx="0">
                  <c:v>0.27208333333333301</c:v>
                </c:pt>
                <c:pt idx="1">
                  <c:v>0.28100000000000003</c:v>
                </c:pt>
                <c:pt idx="2">
                  <c:v>0.31083333333333302</c:v>
                </c:pt>
                <c:pt idx="3">
                  <c:v>0.30149999999999999</c:v>
                </c:pt>
                <c:pt idx="4">
                  <c:v>0.29677777777777797</c:v>
                </c:pt>
                <c:pt idx="5">
                  <c:v>0.27450000000000002</c:v>
                </c:pt>
                <c:pt idx="6">
                  <c:v>0.30794444444444402</c:v>
                </c:pt>
                <c:pt idx="7">
                  <c:v>0.313194444444444</c:v>
                </c:pt>
                <c:pt idx="8">
                  <c:v>0.330472222222222</c:v>
                </c:pt>
                <c:pt idx="9">
                  <c:v>0.33094444444444399</c:v>
                </c:pt>
                <c:pt idx="10">
                  <c:v>0.34769444444444397</c:v>
                </c:pt>
                <c:pt idx="11">
                  <c:v>0.34775</c:v>
                </c:pt>
                <c:pt idx="12">
                  <c:v>0.35397222222222202</c:v>
                </c:pt>
                <c:pt idx="13">
                  <c:v>0.374805555555556</c:v>
                </c:pt>
                <c:pt idx="14">
                  <c:v>0.40447222222222201</c:v>
                </c:pt>
                <c:pt idx="15">
                  <c:v>0.41249999999999998</c:v>
                </c:pt>
                <c:pt idx="16">
                  <c:v>0.411833333333333</c:v>
                </c:pt>
                <c:pt idx="17">
                  <c:v>0.366611111111111</c:v>
                </c:pt>
                <c:pt idx="18">
                  <c:v>0.337666666666667</c:v>
                </c:pt>
                <c:pt idx="19">
                  <c:v>0.302416666666667</c:v>
                </c:pt>
              </c:numCache>
            </c:numRef>
          </c:val>
          <c:smooth val="0"/>
        </c:ser>
        <c:dLbls>
          <c:showLegendKey val="0"/>
          <c:showVal val="0"/>
          <c:showCatName val="0"/>
          <c:showSerName val="0"/>
          <c:showPercent val="0"/>
          <c:showBubbleSize val="0"/>
        </c:dLbls>
        <c:smooth val="0"/>
        <c:axId val="235326048"/>
        <c:axId val="235322520"/>
      </c:lineChart>
      <c:catAx>
        <c:axId val="235326048"/>
        <c:scaling>
          <c:orientation val="minMax"/>
        </c:scaling>
        <c:delete val="0"/>
        <c:axPos val="b"/>
        <c:numFmt formatCode="General" sourceLinked="1"/>
        <c:majorTickMark val="out"/>
        <c:minorTickMark val="none"/>
        <c:tickLblPos val="nextTo"/>
        <c:crossAx val="235322520"/>
        <c:crosses val="autoZero"/>
        <c:auto val="1"/>
        <c:lblAlgn val="ctr"/>
        <c:lblOffset val="100"/>
        <c:noMultiLvlLbl val="0"/>
      </c:catAx>
      <c:valAx>
        <c:axId val="235322520"/>
        <c:scaling>
          <c:orientation val="minMax"/>
          <c:min val="0.2"/>
        </c:scaling>
        <c:delete val="0"/>
        <c:axPos val="l"/>
        <c:majorGridlines/>
        <c:numFmt formatCode="0%" sourceLinked="0"/>
        <c:majorTickMark val="out"/>
        <c:minorTickMark val="none"/>
        <c:tickLblPos val="nextTo"/>
        <c:crossAx val="235326048"/>
        <c:crosses val="autoZero"/>
        <c:crossBetween val="between"/>
      </c:valAx>
    </c:plotArea>
    <c:plotVisOnly val="1"/>
    <c:dispBlanksAs val="gap"/>
    <c:showDLblsOverMax val="0"/>
  </c:chart>
  <c:spPr>
    <a:ln>
      <a:noFill/>
    </a:ln>
  </c:spPr>
  <c:txPr>
    <a:bodyPr/>
    <a:lstStyle/>
    <a:p>
      <a:pPr>
        <a:defRPr>
          <a:latin typeface="Times New Roman"/>
          <a:cs typeface="Times New Roman"/>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18"/>
    </mc:Choice>
    <mc:Fallback>
      <c:style val="18"/>
    </mc:Fallback>
  </mc:AlternateContent>
  <c:chart>
    <c:autoTitleDeleted val="1"/>
    <c:plotArea>
      <c:layout/>
      <c:lineChart>
        <c:grouping val="standard"/>
        <c:varyColors val="0"/>
        <c:ser>
          <c:idx val="0"/>
          <c:order val="0"/>
          <c:tx>
            <c:strRef>
              <c:f>time!$B$23</c:f>
              <c:strCache>
                <c:ptCount val="1"/>
                <c:pt idx="0">
                  <c:v>AU</c:v>
                </c:pt>
              </c:strCache>
            </c:strRef>
          </c:tx>
          <c:marker>
            <c:symbol val="none"/>
          </c:marker>
          <c:cat>
            <c:numRef>
              <c:f>time!$A$24:$A$38</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time!$B$24:$B$38</c:f>
              <c:numCache>
                <c:formatCode>0.0%</c:formatCode>
                <c:ptCount val="15"/>
                <c:pt idx="0">
                  <c:v>0</c:v>
                </c:pt>
                <c:pt idx="1">
                  <c:v>0</c:v>
                </c:pt>
                <c:pt idx="2">
                  <c:v>0</c:v>
                </c:pt>
                <c:pt idx="3">
                  <c:v>0</c:v>
                </c:pt>
                <c:pt idx="4">
                  <c:v>0</c:v>
                </c:pt>
                <c:pt idx="5">
                  <c:v>2E-3</c:v>
                </c:pt>
                <c:pt idx="6">
                  <c:v>1.5035715029467499E-2</c:v>
                </c:pt>
                <c:pt idx="7">
                  <c:v>5.4432442572082899E-2</c:v>
                </c:pt>
                <c:pt idx="8">
                  <c:v>0.11368421825774699</c:v>
                </c:pt>
                <c:pt idx="9">
                  <c:v>0.13419029557561399</c:v>
                </c:pt>
                <c:pt idx="10">
                  <c:v>0.18459864664334399</c:v>
                </c:pt>
                <c:pt idx="11">
                  <c:v>0.34090904174894698</c:v>
                </c:pt>
                <c:pt idx="12">
                  <c:v>0.38211983397002602</c:v>
                </c:pt>
                <c:pt idx="13">
                  <c:v>0.46291700784158102</c:v>
                </c:pt>
                <c:pt idx="14">
                  <c:v>0.54679070243644401</c:v>
                </c:pt>
              </c:numCache>
            </c:numRef>
          </c:val>
          <c:smooth val="0"/>
        </c:ser>
        <c:ser>
          <c:idx val="1"/>
          <c:order val="1"/>
          <c:tx>
            <c:strRef>
              <c:f>time!$C$23</c:f>
              <c:strCache>
                <c:ptCount val="1"/>
                <c:pt idx="0">
                  <c:v>AT</c:v>
                </c:pt>
              </c:strCache>
            </c:strRef>
          </c:tx>
          <c:marker>
            <c:symbol val="none"/>
          </c:marker>
          <c:cat>
            <c:numRef>
              <c:f>time!$A$24:$A$38</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time!$C$24:$C$38</c:f>
              <c:numCache>
                <c:formatCode>0.0%</c:formatCode>
                <c:ptCount val="15"/>
                <c:pt idx="0">
                  <c:v>0</c:v>
                </c:pt>
                <c:pt idx="1">
                  <c:v>0</c:v>
                </c:pt>
                <c:pt idx="2">
                  <c:v>0</c:v>
                </c:pt>
                <c:pt idx="3">
                  <c:v>0</c:v>
                </c:pt>
                <c:pt idx="4">
                  <c:v>0</c:v>
                </c:pt>
                <c:pt idx="5">
                  <c:v>8.9999999999999993E-3</c:v>
                </c:pt>
                <c:pt idx="6">
                  <c:v>3.1E-2</c:v>
                </c:pt>
                <c:pt idx="7">
                  <c:v>5.5E-2</c:v>
                </c:pt>
                <c:pt idx="8">
                  <c:v>6.1746244045437902E-2</c:v>
                </c:pt>
                <c:pt idx="9">
                  <c:v>6.6707993791230102E-2</c:v>
                </c:pt>
                <c:pt idx="10">
                  <c:v>9.6477181745396295E-2</c:v>
                </c:pt>
                <c:pt idx="11">
                  <c:v>0.11856617647058799</c:v>
                </c:pt>
                <c:pt idx="12">
                  <c:v>0.148148148148148</c:v>
                </c:pt>
                <c:pt idx="13">
                  <c:v>0.17320261437908499</c:v>
                </c:pt>
                <c:pt idx="14">
                  <c:v>0.206666666666667</c:v>
                </c:pt>
              </c:numCache>
            </c:numRef>
          </c:val>
          <c:smooth val="0"/>
        </c:ser>
        <c:ser>
          <c:idx val="2"/>
          <c:order val="2"/>
          <c:tx>
            <c:strRef>
              <c:f>time!$D$23</c:f>
              <c:strCache>
                <c:ptCount val="1"/>
                <c:pt idx="0">
                  <c:v>BE</c:v>
                </c:pt>
              </c:strCache>
            </c:strRef>
          </c:tx>
          <c:marker>
            <c:symbol val="none"/>
          </c:marker>
          <c:cat>
            <c:numRef>
              <c:f>time!$A$24:$A$38</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time!$D$24:$D$38</c:f>
              <c:numCache>
                <c:formatCode>0.0%</c:formatCode>
                <c:ptCount val="15"/>
                <c:pt idx="0">
                  <c:v>0</c:v>
                </c:pt>
                <c:pt idx="1">
                  <c:v>0</c:v>
                </c:pt>
                <c:pt idx="2">
                  <c:v>0</c:v>
                </c:pt>
                <c:pt idx="3">
                  <c:v>0</c:v>
                </c:pt>
                <c:pt idx="4">
                  <c:v>0</c:v>
                </c:pt>
                <c:pt idx="5">
                  <c:v>5.0000000000000001E-3</c:v>
                </c:pt>
                <c:pt idx="6">
                  <c:v>1.2247252747252701E-2</c:v>
                </c:pt>
                <c:pt idx="7">
                  <c:v>3.8571428571428597E-2</c:v>
                </c:pt>
                <c:pt idx="8">
                  <c:v>5.5727272727272702E-2</c:v>
                </c:pt>
                <c:pt idx="9">
                  <c:v>8.23641975308642E-2</c:v>
                </c:pt>
                <c:pt idx="10">
                  <c:v>8.17610062893082E-2</c:v>
                </c:pt>
                <c:pt idx="11">
                  <c:v>0.10738255033557</c:v>
                </c:pt>
                <c:pt idx="12">
                  <c:v>0.13768115942028999</c:v>
                </c:pt>
                <c:pt idx="13">
                  <c:v>0.204545454545455</c:v>
                </c:pt>
                <c:pt idx="14">
                  <c:v>0.29457364341085301</c:v>
                </c:pt>
              </c:numCache>
            </c:numRef>
          </c:val>
          <c:smooth val="0"/>
        </c:ser>
        <c:ser>
          <c:idx val="3"/>
          <c:order val="3"/>
          <c:tx>
            <c:strRef>
              <c:f>time!$E$23</c:f>
              <c:strCache>
                <c:ptCount val="1"/>
                <c:pt idx="0">
                  <c:v>NO</c:v>
                </c:pt>
              </c:strCache>
            </c:strRef>
          </c:tx>
          <c:marker>
            <c:symbol val="none"/>
          </c:marker>
          <c:cat>
            <c:numRef>
              <c:f>time!$A$24:$A$38</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time!$E$24:$E$38</c:f>
              <c:numCache>
                <c:formatCode>0.0%</c:formatCode>
                <c:ptCount val="15"/>
                <c:pt idx="0">
                  <c:v>0</c:v>
                </c:pt>
                <c:pt idx="1">
                  <c:v>0</c:v>
                </c:pt>
                <c:pt idx="2">
                  <c:v>0</c:v>
                </c:pt>
                <c:pt idx="3">
                  <c:v>0</c:v>
                </c:pt>
                <c:pt idx="4">
                  <c:v>0</c:v>
                </c:pt>
                <c:pt idx="5">
                  <c:v>0</c:v>
                </c:pt>
                <c:pt idx="6">
                  <c:v>1.2999999999999999E-2</c:v>
                </c:pt>
                <c:pt idx="7">
                  <c:v>3.6999999999999998E-2</c:v>
                </c:pt>
                <c:pt idx="8">
                  <c:v>6.8492242595204506E-2</c:v>
                </c:pt>
                <c:pt idx="9">
                  <c:v>8.33114195914091E-2</c:v>
                </c:pt>
                <c:pt idx="10">
                  <c:v>0.13097826086956499</c:v>
                </c:pt>
                <c:pt idx="11">
                  <c:v>0.211024498886414</c:v>
                </c:pt>
                <c:pt idx="12">
                  <c:v>0.40804597701149398</c:v>
                </c:pt>
                <c:pt idx="13">
                  <c:v>0.61467889908256901</c:v>
                </c:pt>
                <c:pt idx="14">
                  <c:v>0.77611940298507498</c:v>
                </c:pt>
              </c:numCache>
            </c:numRef>
          </c:val>
          <c:smooth val="0"/>
        </c:ser>
        <c:ser>
          <c:idx val="4"/>
          <c:order val="4"/>
          <c:tx>
            <c:strRef>
              <c:f>time!$F$23</c:f>
              <c:strCache>
                <c:ptCount val="1"/>
                <c:pt idx="0">
                  <c:v>SE</c:v>
                </c:pt>
              </c:strCache>
            </c:strRef>
          </c:tx>
          <c:marker>
            <c:symbol val="none"/>
          </c:marker>
          <c:cat>
            <c:numRef>
              <c:f>time!$A$24:$A$38</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time!$F$24:$F$38</c:f>
              <c:numCache>
                <c:formatCode>0.0%</c:formatCode>
                <c:ptCount val="15"/>
                <c:pt idx="0">
                  <c:v>0</c:v>
                </c:pt>
                <c:pt idx="1">
                  <c:v>0</c:v>
                </c:pt>
                <c:pt idx="2">
                  <c:v>0</c:v>
                </c:pt>
                <c:pt idx="3">
                  <c:v>0</c:v>
                </c:pt>
                <c:pt idx="4">
                  <c:v>0</c:v>
                </c:pt>
                <c:pt idx="5">
                  <c:v>1E-3</c:v>
                </c:pt>
                <c:pt idx="6">
                  <c:v>2.1000000000000001E-2</c:v>
                </c:pt>
                <c:pt idx="7">
                  <c:v>5.8000000000000003E-2</c:v>
                </c:pt>
                <c:pt idx="8">
                  <c:v>7.4492814093648593E-2</c:v>
                </c:pt>
                <c:pt idx="9">
                  <c:v>7.9689080150618596E-2</c:v>
                </c:pt>
                <c:pt idx="10">
                  <c:v>0.106277533039648</c:v>
                </c:pt>
                <c:pt idx="11">
                  <c:v>0.32802124833997298</c:v>
                </c:pt>
                <c:pt idx="12">
                  <c:v>0.53405315614617899</c:v>
                </c:pt>
                <c:pt idx="13">
                  <c:v>0.63441232858855201</c:v>
                </c:pt>
                <c:pt idx="14">
                  <c:v>0.756700997646366</c:v>
                </c:pt>
              </c:numCache>
            </c:numRef>
          </c:val>
          <c:smooth val="0"/>
        </c:ser>
        <c:ser>
          <c:idx val="5"/>
          <c:order val="5"/>
          <c:tx>
            <c:strRef>
              <c:f>time!$G$23</c:f>
              <c:strCache>
                <c:ptCount val="1"/>
                <c:pt idx="0">
                  <c:v>UK</c:v>
                </c:pt>
              </c:strCache>
            </c:strRef>
          </c:tx>
          <c:marker>
            <c:symbol val="none"/>
          </c:marker>
          <c:cat>
            <c:numRef>
              <c:f>time!$A$24:$A$38</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time!$G$24:$G$38</c:f>
              <c:numCache>
                <c:formatCode>0.0%</c:formatCode>
                <c:ptCount val="15"/>
                <c:pt idx="0">
                  <c:v>0</c:v>
                </c:pt>
                <c:pt idx="1">
                  <c:v>0</c:v>
                </c:pt>
                <c:pt idx="2">
                  <c:v>0</c:v>
                </c:pt>
                <c:pt idx="3">
                  <c:v>0</c:v>
                </c:pt>
                <c:pt idx="4">
                  <c:v>0</c:v>
                </c:pt>
                <c:pt idx="5">
                  <c:v>2.21365909649914E-3</c:v>
                </c:pt>
                <c:pt idx="6">
                  <c:v>1.05496001361239E-2</c:v>
                </c:pt>
                <c:pt idx="7">
                  <c:v>2.3157507811064099E-2</c:v>
                </c:pt>
                <c:pt idx="8">
                  <c:v>0.117045265233367</c:v>
                </c:pt>
                <c:pt idx="9">
                  <c:v>0.13902673971722901</c:v>
                </c:pt>
                <c:pt idx="10">
                  <c:v>0.199886044316019</c:v>
                </c:pt>
                <c:pt idx="11">
                  <c:v>0.26398963693487099</c:v>
                </c:pt>
                <c:pt idx="12">
                  <c:v>0.34333070711102698</c:v>
                </c:pt>
                <c:pt idx="13">
                  <c:v>0.45530726256983201</c:v>
                </c:pt>
                <c:pt idx="14">
                  <c:v>0.5</c:v>
                </c:pt>
              </c:numCache>
            </c:numRef>
          </c:val>
          <c:smooth val="0"/>
        </c:ser>
        <c:ser>
          <c:idx val="6"/>
          <c:order val="6"/>
          <c:tx>
            <c:strRef>
              <c:f>time!$H$23</c:f>
              <c:strCache>
                <c:ptCount val="1"/>
                <c:pt idx="0">
                  <c:v>US</c:v>
                </c:pt>
              </c:strCache>
            </c:strRef>
          </c:tx>
          <c:marker>
            <c:symbol val="none"/>
          </c:marker>
          <c:cat>
            <c:numRef>
              <c:f>time!$A$24:$A$38</c:f>
              <c:numCache>
                <c:formatCode>General</c:formatCode>
                <c:ptCount val="15"/>
                <c:pt idx="0">
                  <c:v>1999</c:v>
                </c:pt>
                <c:pt idx="1">
                  <c:v>2000</c:v>
                </c:pt>
                <c:pt idx="2">
                  <c:v>2001</c:v>
                </c:pt>
                <c:pt idx="3">
                  <c:v>2002</c:v>
                </c:pt>
                <c:pt idx="4">
                  <c:v>2003</c:v>
                </c:pt>
                <c:pt idx="5">
                  <c:v>2004</c:v>
                </c:pt>
                <c:pt idx="6">
                  <c:v>2005</c:v>
                </c:pt>
                <c:pt idx="7">
                  <c:v>2006</c:v>
                </c:pt>
                <c:pt idx="8">
                  <c:v>2007</c:v>
                </c:pt>
                <c:pt idx="9">
                  <c:v>2008</c:v>
                </c:pt>
                <c:pt idx="10">
                  <c:v>2009</c:v>
                </c:pt>
                <c:pt idx="11">
                  <c:v>2010</c:v>
                </c:pt>
                <c:pt idx="12">
                  <c:v>2011</c:v>
                </c:pt>
                <c:pt idx="13">
                  <c:v>2012</c:v>
                </c:pt>
                <c:pt idx="14">
                  <c:v>2013</c:v>
                </c:pt>
              </c:numCache>
            </c:numRef>
          </c:cat>
          <c:val>
            <c:numRef>
              <c:f>time!$H$24:$H$38</c:f>
              <c:numCache>
                <c:formatCode>0%</c:formatCode>
                <c:ptCount val="15"/>
                <c:pt idx="0">
                  <c:v>0</c:v>
                </c:pt>
                <c:pt idx="1">
                  <c:v>0</c:v>
                </c:pt>
                <c:pt idx="2">
                  <c:v>0</c:v>
                </c:pt>
                <c:pt idx="3">
                  <c:v>0</c:v>
                </c:pt>
                <c:pt idx="4">
                  <c:v>1.4500000000000001E-2</c:v>
                </c:pt>
                <c:pt idx="5">
                  <c:v>2.9000000000000001E-2</c:v>
                </c:pt>
                <c:pt idx="6">
                  <c:v>9.0999999999999998E-2</c:v>
                </c:pt>
                <c:pt idx="7">
                  <c:v>0.16800000000000001</c:v>
                </c:pt>
                <c:pt idx="8">
                  <c:v>0.29351985391611801</c:v>
                </c:pt>
                <c:pt idx="9">
                  <c:v>0.34</c:v>
                </c:pt>
                <c:pt idx="10">
                  <c:v>0.4</c:v>
                </c:pt>
                <c:pt idx="11">
                  <c:v>0.46</c:v>
                </c:pt>
                <c:pt idx="12">
                  <c:v>0.51</c:v>
                </c:pt>
                <c:pt idx="13">
                  <c:v>0.59</c:v>
                </c:pt>
                <c:pt idx="14">
                  <c:v>0.64</c:v>
                </c:pt>
              </c:numCache>
            </c:numRef>
          </c:val>
          <c:smooth val="0"/>
        </c:ser>
        <c:dLbls>
          <c:showLegendKey val="0"/>
          <c:showVal val="0"/>
          <c:showCatName val="0"/>
          <c:showSerName val="0"/>
          <c:showPercent val="0"/>
          <c:showBubbleSize val="0"/>
        </c:dLbls>
        <c:smooth val="0"/>
        <c:axId val="235323696"/>
        <c:axId val="235324088"/>
      </c:lineChart>
      <c:catAx>
        <c:axId val="235323696"/>
        <c:scaling>
          <c:orientation val="minMax"/>
        </c:scaling>
        <c:delete val="0"/>
        <c:axPos val="b"/>
        <c:numFmt formatCode="General" sourceLinked="1"/>
        <c:majorTickMark val="out"/>
        <c:minorTickMark val="none"/>
        <c:tickLblPos val="nextTo"/>
        <c:txPr>
          <a:bodyPr/>
          <a:lstStyle/>
          <a:p>
            <a:pPr>
              <a:defRPr sz="1000"/>
            </a:pPr>
            <a:endParaRPr lang="en-US"/>
          </a:p>
        </c:txPr>
        <c:crossAx val="235324088"/>
        <c:crosses val="autoZero"/>
        <c:auto val="1"/>
        <c:lblAlgn val="ctr"/>
        <c:lblOffset val="100"/>
        <c:noMultiLvlLbl val="0"/>
      </c:catAx>
      <c:valAx>
        <c:axId val="235324088"/>
        <c:scaling>
          <c:orientation val="minMax"/>
        </c:scaling>
        <c:delete val="0"/>
        <c:axPos val="l"/>
        <c:majorGridlines/>
        <c:numFmt formatCode="0%" sourceLinked="0"/>
        <c:majorTickMark val="out"/>
        <c:minorTickMark val="none"/>
        <c:tickLblPos val="nextTo"/>
        <c:crossAx val="235323696"/>
        <c:crosses val="autoZero"/>
        <c:crossBetween val="between"/>
      </c:valAx>
    </c:plotArea>
    <c:legend>
      <c:legendPos val="r"/>
      <c:overlay val="0"/>
    </c:legend>
    <c:plotVisOnly val="1"/>
    <c:dispBlanksAs val="gap"/>
    <c:showDLblsOverMax val="0"/>
  </c:chart>
  <c:spPr>
    <a:ln>
      <a:noFill/>
    </a:ln>
  </c:spPr>
  <c:txPr>
    <a:bodyPr/>
    <a:lstStyle/>
    <a:p>
      <a:pPr algn="ctr">
        <a:defRPr sz="900">
          <a:latin typeface="Times New Roman"/>
          <a:cs typeface="Times New Roman"/>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F1DD22-A40F-409F-A45B-2A85094382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1334</Words>
  <Characters>7604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dc:creator>
  <cp:keywords/>
  <dc:description/>
  <cp:lastModifiedBy>Bob2</cp:lastModifiedBy>
  <cp:revision>3</cp:revision>
  <cp:lastPrinted>2015-04-09T14:09:00Z</cp:lastPrinted>
  <dcterms:created xsi:type="dcterms:W3CDTF">2015-04-19T23:14:00Z</dcterms:created>
  <dcterms:modified xsi:type="dcterms:W3CDTF">2015-05-03T17:37:00Z</dcterms:modified>
</cp:coreProperties>
</file>