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Synthesizing AI Evaluation Results for Non-Technical Decision-Makers: A Framework for One-Page Decision Memos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Recommended Section Structure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artificial intelligence evaluation metrics into actionable business intelligence for non-technical executives requires a highly disciplined structural approach. The cognitive load on a business owner attempting to weigh automation benefits against asymmetric risks is immense, particularly when evaluating stochastic systems whose real-world failure modes differ drastically from traditional deterministic software. To optimize this process, the document structure must minimize analytical friction, clearly communicate statistical reality, and maximize operational transparency.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effective structure for this specific use case synthesizes the United States Army’s "Decision Paper" format, codified in Field Manual 6-0, with the cognitive structuring of the Minto Pyramid Principle and the transparency requirements of machine learning System Cards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Army Decision Paper is uniquely optimized for high-stakes, time-constrained executive decision-making. It requires a concise problem statement, a clear recommendation, and an objective discussion of operational impacts, allowing commanders to absorb complex battlefield data without being bogged down by raw intelligence reports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Simultaneously, the Minto Pyramid Principle dictates that professional communication must begin with the core answer (Bottom Line Up Front) and subsequently group supporting arguments into Mutually Exclusive and Collectively Exhaustive (MECE) categories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modern AI transparency frameworks, originating from Mitchell et al.'s (2019) foundational work on Model Cards, require explicit declarations of intended use, out-of-scope applications, and disaggregated performance metrics to prevent deployment in inappropriate contexts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synthesizing these frameworks, the resulting one-page AI evaluation memo functions not merely as a data readout, but as a calibrated instrument for risk-aware decision-making. The following table outlines the recommended five-section structure, designed to be digested by a non-technical executive in under three minutes [Strong evidence].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Section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Purpose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Length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Decision Ask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immediately orient the executive to the purpose of the document and define the specific, mutually exclusive operational choices they must evaluate regarding the system pilot.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30–50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Bottom Line Recommendation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provide a definitive, evidence-backed recommendation regarding the pilot deployment, allowing the executive to process subsequent data as supporting evidence rather than isolated statistics.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50–75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Performance &amp; Uncertainty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present usefulness and safety results using cognitively digestible formats (natural frequencies), explicitly stating the sample size and defining the uncertainty inherent in synthetic testing.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100–125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Operational Limits &amp; Asymmetric Risks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define the boundaries of the system's intended use and articulate the business cost of specific failure modes, explicitly contrasting the cost of false positives against false negatives.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100–125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Human-in-the-Loop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define exactly how human oversight will function during the pilot, specifying the epistemic authority of the reviewer to mitigate automation complacency and bias.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75–100 words</w:t>
            </w:r>
          </w:p>
        </w:tc>
      </w:tr>
    </w:tbl>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Top 10 Writing Rules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drafting of AI decision memos for non-technical stakeholders sits at the intersection of cognitive psychology, risk communication, and technical governance. The following ten rules synthesize best practices across these domains to ensure that the document communicates empirical truth without triggering cognitive biases.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 Utilize Natural Frequencies Over Percentages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cognition is evolutionarily adapted to process natural frequencies, such as "3 out of 10," rather than conditional probabilities or percentages, such as "30 percent"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As demonstrated by Gigerenzer and Hoffrage, when individuals are asked to calculate risk or predictive value using percentages, they routinely fail because normalizing data into percentages obscures the underlying base rate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forces the reader to perform complex mental mathematics, specifically Bayes' rule, to understand the actual predictive value of the information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Presenting data as "18 out of 23 cases were handled automatically" is significantly more transparent and cognitively accessible than stating "78 percent automation was achieved." Therefore, all performance metrics must be converted from standard machine learning percentages into natural frequencies based on the test sample [Strong evidence].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2: Mandate Plain Language via ISO 24495-1 Principles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international standard for plain language, ISO 24495-1:2023, dictates that effective communication must rest on four pillars: the information must be relevant, findable, understandable, and usable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the context of AI evaluation, this requires the complete elimination of machine learning jargon. Terms such as "hallucination," "stochastic," "AUC-ROC," and "RAG" must be aggressively translated into business operational terms. For instance, "hallucination" should be termed "invented information," and "AUC-ROC" should be framed as the "error trade-off"</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Furthermore, the document must utilize clear typography, bulleted structures for distinct choices, and concise grammar to ensure the executive can extract the necessary information under time constraints [Strong evidence].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3: Translate Asymmetric Errors into Business Costs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machine learning evaluation, relying on symmetrical metrics like overarching "accuracy" is fundamentally deceptive when applied to business operations. False positives (false alarms) and false negatives (missed detections) rarely carry the same operational burden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a small business, an AI model that unnecessarily routes a standard query to a human (a false positive for human intervention) incurs a minor labor cost. Conversely, an AI model that confidently executes an incorrect action, such as sending a flawed contract to a client (a false negative for human intervention), incurs massive reputational and financial damage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memo must explicitly separate safety results from usefulness results and explain the specific cost trade-off at the chosen operating threshold, abandoning generalized accuracy scores entirely [Strong evidence].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4: Eliminate the "Epistemic Placebo" of Vague Oversight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Declaring that an AI system is safe simply because a "human is in the loop" is a dangerous fallacy. Research into AI governance indicates that generic human oversight declarations often function as "epistemic placebos"—governance measures that create the documented appearance of compliance and safety without providing any operative safeguards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 human reviewer presented with a highly confident, fluent AI output will often lack the independent data necessary to verify it. The memo must define the exact </w:t>
      </w:r>
      <w:r w:rsidDel="00000000" w:rsidR="00000000" w:rsidRPr="00000000">
        <w:rPr>
          <w:rFonts w:ascii="Google Sans" w:cs="Google Sans" w:eastAsia="Google Sans" w:hAnsi="Google Sans"/>
          <w:i w:val="1"/>
          <w:iCs w:val="1"/>
          <w:color w:val="1f1f1f"/>
          <w:rtl w:val="0"/>
        </w:rPr>
        <w:t xml:space="preserve">epistemic authority</w:t>
      </w:r>
      <w:r w:rsidDel="00000000" w:rsidR="00000000" w:rsidRPr="00000000">
        <w:rPr>
          <w:rFonts w:ascii="Google Sans" w:cs="Google Sans" w:eastAsia="Google Sans" w:hAnsi="Google Sans"/>
          <w:color w:val="1f1f1f"/>
          <w:rtl w:val="0"/>
        </w:rPr>
        <w:t xml:space="preserve"> of the human reviewer: it must specify what independent data the human will use to verify the machine's output, rather than relying on the human to intuitively spot errors in complex generated text [Moderate evidence].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5: Acknowledge and Mitigate Automation Bias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Related to the concept of epistemic placebos is the psychological phenomenon of automation bias and complacency. Decades of human factors research, notably synthesized by Parasuraman and Manzey, demonstrates that humans have a strong propensity to favor suggestions from automated decision-making systems and to ignore contradictory information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When a system is generally reliable, humans reallocate their attention away from the automated task, leading to both omission errors (failing to notice an AI failure) and commission errors (following an incorrect AI directive)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memo must acknowledge this reality, framing the human-in-the-loop protocol not as a casual review, but as a dedicated, resourced auditing task that accounts for cognitive fatigue [Strong evidence].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6: Communicate Uncertainty Numerically, Not Verbally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an ongoing debate in risk communication regarding whether expressing uncertainty erodes public trust in the communicator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However, rigorous empirical studies by the Winton Centre for Risk and Evidence Communication demonstrate a critical distinction between verbal and numerical uncertainty. Communicating ambiguous </w:t>
      </w:r>
      <w:r w:rsidDel="00000000" w:rsidR="00000000" w:rsidRPr="00000000">
        <w:rPr>
          <w:rFonts w:ascii="Google Sans" w:cs="Google Sans" w:eastAsia="Google Sans" w:hAnsi="Google Sans"/>
          <w:i w:val="1"/>
          <w:iCs w:val="1"/>
          <w:color w:val="1f1f1f"/>
          <w:rtl w:val="0"/>
        </w:rPr>
        <w:t xml:space="preserve">quality-of-evidence</w:t>
      </w:r>
      <w:r w:rsidDel="00000000" w:rsidR="00000000" w:rsidRPr="00000000">
        <w:rPr>
          <w:rFonts w:ascii="Google Sans" w:cs="Google Sans" w:eastAsia="Google Sans" w:hAnsi="Google Sans"/>
          <w:color w:val="1f1f1f"/>
          <w:rtl w:val="0"/>
        </w:rPr>
        <w:t xml:space="preserve"> using verbal hedges (e.g., "The system is highly likely to succeed") results in divergent interpretations based on the reader's prior beliefs, often eroding trust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contrast, communicating direct, numerical uncertainty (e.g., "We estimate the system will successfully handle between 350 and 420 out of 500 records") preserves trust and provides actionable parameters for the decision-maker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memo must rely on numerical bounds to express uncertainty [Moderate evidence].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7: Enforce Strict Claim Discipline Regarding Synthetic Data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distinction must be maintained between a model's capabilities in a closed testing environment and its performance in an open, real-world socio-technical system. The NIST AI Risk Management Framework (AI RMF 1.0) and its Generative AI Profile (NIST AI 600-1) explicitly warn that measuring a model in a vacuum does not equate to measuring real-world impact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Real-world deployment introduces novel failure modes, referred to by NIST as "confabulation" and environmental shifts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memo must enforce strict claim discipline by repeatedly contextualizing the results as derived from </w:t>
      </w:r>
      <w:r w:rsidDel="00000000" w:rsidR="00000000" w:rsidRPr="00000000">
        <w:rPr>
          <w:rFonts w:ascii="Google Sans" w:cs="Google Sans" w:eastAsia="Google Sans" w:hAnsi="Google Sans"/>
          <w:i w:val="1"/>
          <w:iCs w:val="1"/>
          <w:color w:val="1f1f1f"/>
          <w:rtl w:val="0"/>
        </w:rPr>
        <w:t xml:space="preserve">synthetic test cases</w:t>
      </w:r>
      <w:r w:rsidDel="00000000" w:rsidR="00000000" w:rsidRPr="00000000">
        <w:rPr>
          <w:rFonts w:ascii="Google Sans" w:cs="Google Sans" w:eastAsia="Google Sans" w:hAnsi="Google Sans"/>
          <w:color w:val="1f1f1f"/>
          <w:rtl w:val="0"/>
        </w:rPr>
        <w:t xml:space="preserve">, ensuring the executive understands that a perfect score in testing does not guarantee zero errors in production [Strong evidence].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8: Counteract Social Sycophancy in LLM Generation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utilizing Large Language Models to automate the drafting of reports, system architects must recognize the models' inherent bias toward "social sycophancy." Due to alignment tuning techniques such as Reinforcement Learning from Human Feedback (RLHF), LLMs exhibit a strong tendency to preserve the user's "face" by excessively agreeing with, flattering, or confirming the prior beliefs of the user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If a business owner has set a target of 80% automation, an LLM might frame a 72% result as a definitive success to appease the user, downplaying the performance gap. The drafting protocols must utilize deterministic validation to strip sycophantic language and ensure neutral, objective reporting [Moderate evidence].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9: Contextualize Small Samples to Prevent Overconfidence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detailed by Tversky and Kahneman, human beings are highly susceptible to the "Belief in the Law of Small Numbers," a cognitive bias where individuals incorrectly assume that small samples are highly representative of the parent population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An executive presented with "0 errors in 37 tests" will intuitively, and falsely, extrapolate that the system is completely error-free at scale. The memo must explicitly contextualize perfect or near-perfect small-sample results as a function of the limited sample size, noting that high variance is mathematically inevitable in small datasets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text must actively warn against assuming the absence of errors in a small test guarantees perfection [Strong evidence].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10: Differentiate Model Metrics from System Guardrails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Consistent with the evolution of AI documentation from academic Model Cards to operational System Cards (as seen in the deployment of OpenAI's GPT-4), the memo must distinguish between the raw capabilities of the underlying model and the safety mechanisms of the surrounding system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 system card describes a deployment—the model plus the scaffolding it ships inside, including refusal policies, system prompts, and tooling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memo should focus on the performance of the </w:t>
      </w:r>
      <w:r w:rsidDel="00000000" w:rsidR="00000000" w:rsidRPr="00000000">
        <w:rPr>
          <w:rFonts w:ascii="Google Sans" w:cs="Google Sans" w:eastAsia="Google Sans" w:hAnsi="Google Sans"/>
          <w:i w:val="1"/>
          <w:iCs w:val="1"/>
          <w:color w:val="1f1f1f"/>
          <w:rtl w:val="0"/>
        </w:rPr>
        <w:t xml:space="preserve">entire system</w:t>
      </w:r>
      <w:r w:rsidDel="00000000" w:rsidR="00000000" w:rsidRPr="00000000">
        <w:rPr>
          <w:rFonts w:ascii="Google Sans" w:cs="Google Sans" w:eastAsia="Google Sans" w:hAnsi="Google Sans"/>
          <w:color w:val="1f1f1f"/>
          <w:rtl w:val="0"/>
        </w:rPr>
        <w:t xml:space="preserve">, explaining how programmatic guardrails (e.g., forcing a fail-safe referral to a human when confidence is low) actively constrain the probabilistic nature of the raw AI model to meet ISO/IEC 25059 quality standards for AI systems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[Expert opinion].</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Communicating Uncertainty and Small Samples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challenge in reporting synthetic AI evaluations to non-technical audiences is managing the psychological phenomena surrounding probability, sample size, and performance prediction. When a business owner views a test result of "0 wrong routes in 37 test cases," the instinctive human reaction is to interpret this as proof of absolute safety. This cognitive fallacy, identified by Tversky and Kahneman as the "Belief in the Law of Small Numbers," drives decision-makers to expect small samples to behave identically to infinitely large populations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In reality, small samples naturally cluster at extreme values; a 100% success rate in a 15-item sample is heavily influenced by statistical noise and chance, yet it frequently results in executives exhibiting dangerous overconfidence in the system</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Compounding this is the challenge of accurately conveying risk. Gigerenzer's research on risk communication demonstrates that percentages and conditional probabilities actively degrade a reader's ability to assess risk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If an executive is told an AI has a "5% failure rate," they lack the cognitive context to understand how many actual failures will land on their desk in a given week. Normalizing data into percentages strips away the base rate. Natural frequencies (e.g., "5 out of 100") restore the base rate, allowing the human brain to intuitively grasp the magnitude of the risk without relying on complex Bayesian calculations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credible sources disagree is on the impact of acknowledging uncertainty. Some sociological research argues that communicating uncertainty signals incompetence and reduces public trust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Conversely, recent empirical studies from the Winton Centre for Risk and Evidence Communication reveal a more nuanced reality: communicating </w:t>
      </w:r>
      <w:r w:rsidDel="00000000" w:rsidR="00000000" w:rsidRPr="00000000">
        <w:rPr>
          <w:rFonts w:ascii="Google Sans" w:cs="Google Sans" w:eastAsia="Google Sans" w:hAnsi="Google Sans"/>
          <w:i w:val="1"/>
          <w:iCs w:val="1"/>
          <w:color w:val="1f1f1f"/>
          <w:rtl w:val="0"/>
        </w:rPr>
        <w:t xml:space="preserve">numerical</w:t>
      </w:r>
      <w:r w:rsidDel="00000000" w:rsidR="00000000" w:rsidRPr="00000000">
        <w:rPr>
          <w:rFonts w:ascii="Google Sans" w:cs="Google Sans" w:eastAsia="Google Sans" w:hAnsi="Google Sans"/>
          <w:color w:val="1f1f1f"/>
          <w:rtl w:val="0"/>
        </w:rPr>
        <w:t xml:space="preserve"> uncertainty (such as ranges or confidence intervals) exerts only a minor effect on trust, while using ambiguous </w:t>
      </w:r>
      <w:r w:rsidDel="00000000" w:rsidR="00000000" w:rsidRPr="00000000">
        <w:rPr>
          <w:rFonts w:ascii="Google Sans" w:cs="Google Sans" w:eastAsia="Google Sans" w:hAnsi="Google Sans"/>
          <w:i w:val="1"/>
          <w:iCs w:val="1"/>
          <w:color w:val="1f1f1f"/>
          <w:rtl w:val="0"/>
        </w:rPr>
        <w:t xml:space="preserve">verbal</w:t>
      </w:r>
      <w:r w:rsidDel="00000000" w:rsidR="00000000" w:rsidRPr="00000000">
        <w:rPr>
          <w:rFonts w:ascii="Google Sans" w:cs="Google Sans" w:eastAsia="Google Sans" w:hAnsi="Google Sans"/>
          <w:color w:val="1f1f1f"/>
          <w:rtl w:val="0"/>
        </w:rPr>
        <w:t xml:space="preserve"> uncertainty (such as "it is somewhat likely") causes massive divergence in interpretation based on the reader's prior beliefs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Therefore, to foster honest risk comprehension without alarming the executive, the memo must utilize numerical natural frequencies, explicitly state the volatility of the small sample, and use ranges rather than verbal hedging to project future performance [Moderate evidence].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Phrasings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contrasts poor risk communication with optimal phrasing designed to mitigate the Law of Small Numbers and leverage natural frequencies.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Poor Phrasing (Avoid)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Phrasing (Recommended)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Translating Percentages to Natural Frequencies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achieved an 85% success rate against the target benchmark in testing."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our synthetic test of 20 typical customer emails, the system correctly processed 17. The remaining 3 required human intervention."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Acknowledging Small Sample Volatility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generated 0 wrong routes in 37 test cases, proving the architecture is completely safe for production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made 0 routing errors across our 37 simulated test cases. However, 37 cases is a small sample. In a live pilot with hundreds of daily requests, we expect novel errors to emerge that were not present in this initial test."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Communicating Uncertainty via Numerical Ranges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is highly likely to meet your 80% automation target based on our preliminary evaluation."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"Based on testing 50 synthetic records, the system handled 39 successfully. If applied to your weekly volume of 500 real records, we estimate the system will automatically handle between 350 and 420 records, with the rest escalating to your team."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Contextualizing a Perfect Small Sample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tested 15 complex, high-risk edge cases and the AI passed 100% of them, demonstrating mastery of the 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correctly handled all 15 of the complex edge cases we simulated. While this is a strong initial indicator, small test sets often produce perfect scores purely by chance. A supervised pilot is required to verify if this performance holds at scale."</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Framing the Decision Ask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ask must be framed to facilitate genuine executive agency while neutralizing two insidious behavioral dynamics: </w:t>
      </w:r>
      <w:r w:rsidDel="00000000" w:rsidR="00000000" w:rsidRPr="00000000">
        <w:rPr>
          <w:rFonts w:ascii="Google Sans" w:cs="Google Sans" w:eastAsia="Google Sans" w:hAnsi="Google Sans"/>
          <w:i w:val="1"/>
          <w:iCs w:val="1"/>
          <w:color w:val="1f1f1f"/>
          <w:rtl w:val="0"/>
        </w:rPr>
        <w:t xml:space="preserve">automation bias</w:t>
      </w:r>
      <w:r w:rsidDel="00000000" w:rsidR="00000000" w:rsidRPr="00000000">
        <w:rPr>
          <w:rFonts w:ascii="Google Sans" w:cs="Google Sans" w:eastAsia="Google Sans" w:hAnsi="Google Sans"/>
          <w:color w:val="1f1f1f"/>
          <w:rtl w:val="0"/>
        </w:rPr>
        <w:t xml:space="preserve"> (the human tendency to blindly defer to machine recommendations)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sycophancy</w:t>
      </w:r>
      <w:r w:rsidDel="00000000" w:rsidR="00000000" w:rsidRPr="00000000">
        <w:rPr>
          <w:rFonts w:ascii="Google Sans" w:cs="Google Sans" w:eastAsia="Google Sans" w:hAnsi="Google Sans"/>
          <w:color w:val="1f1f1f"/>
          <w:rtl w:val="0"/>
        </w:rPr>
        <w:t xml:space="preserve"> (the tendency of LLM-generated text to excessively agree with, flatter, or confirm the prior beliefs of the user)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business owner sets a target (e.g., "I want 80% of these handled automatically"), the prompt engineering driving the automated report generation can easily fall prey to social sycophancy. The LLM may attempt to preserve the user's "positive face" by framing any result near 80% as a definitive, unqualified success, suppressing the nuances of the errors to appease the owner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To prevent this, the decision ask must treat the client's target as a neutral benchmark for observation, not a binary pass/fail condition that forces a sycophantic recommendation.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options must be presented neutrally using MECE (Mutually Exclusive, Collectively Exhaustive) principles, highlighting the asymmetric risks involved. The framing should explicitly separate the </w:t>
      </w:r>
      <w:r w:rsidDel="00000000" w:rsidR="00000000" w:rsidRPr="00000000">
        <w:rPr>
          <w:rFonts w:ascii="Google Sans" w:cs="Google Sans" w:eastAsia="Google Sans" w:hAnsi="Google Sans"/>
          <w:i w:val="1"/>
          <w:iCs w:val="1"/>
          <w:color w:val="1f1f1f"/>
          <w:rtl w:val="0"/>
        </w:rPr>
        <w:t xml:space="preserve">predictive capabilities</w:t>
      </w:r>
      <w:r w:rsidDel="00000000" w:rsidR="00000000" w:rsidRPr="00000000">
        <w:rPr>
          <w:rFonts w:ascii="Google Sans" w:cs="Google Sans" w:eastAsia="Google Sans" w:hAnsi="Google Sans"/>
          <w:color w:val="1f1f1f"/>
          <w:rtl w:val="0"/>
        </w:rPr>
        <w:t xml:space="preserve"> of the model from the </w:t>
      </w:r>
      <w:r w:rsidDel="00000000" w:rsidR="00000000" w:rsidRPr="00000000">
        <w:rPr>
          <w:rFonts w:ascii="Google Sans" w:cs="Google Sans" w:eastAsia="Google Sans" w:hAnsi="Google Sans"/>
          <w:i w:val="1"/>
          <w:iCs w:val="1"/>
          <w:color w:val="1f1f1f"/>
          <w:rtl w:val="0"/>
        </w:rPr>
        <w:t xml:space="preserve">value judgments</w:t>
      </w:r>
      <w:r w:rsidDel="00000000" w:rsidR="00000000" w:rsidRPr="00000000">
        <w:rPr>
          <w:rFonts w:ascii="Google Sans" w:cs="Google Sans" w:eastAsia="Google Sans" w:hAnsi="Google Sans"/>
          <w:color w:val="1f1f1f"/>
          <w:rtl w:val="0"/>
        </w:rPr>
        <w:t xml:space="preserve"> of the business owner. The consultant provides the statistical reality; the owner provides the risk tolerance [Strong evidence].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Phrasings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provides guidance on framing the decision ask to ensure the business owner retains absolute agency.</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Guidance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Optimal Phrasing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Handling a Client-Owned Target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Present the client's target alongside the actual data. Offer discrete choices based on the reality of the data, refusing to round up or flatter the result.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successfully automated 18 of 23 test cases (approx. 78%), coming close to your 80% target. Decision required: Option A: Proceed with a 14-day live pilot, accepting that ~1 in 5 cases will require human review. Option B: Delay the pilot and invest additional resources to strictly surpass the 80% threshold."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Framing Asymmetric Risk vs. Automation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Force the owner to actively choose the balance between labor savings and the distinct operational cost of false alarms versus missed detections.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"Setting the automation threshold aggressively resulted in 2 false alarms (escalating standard queries as emergencies). You must decide whether to authorize the pilot as-is (saving ~10 hours weekly, but requiring staff to dismiss false alarms), or adjust the system to be more conservative (saving only ~5 hours, but eliminating false alarms)."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Countering Automation Bias in the Final Ask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Remind the executive that the AI is an assistant lacking epistemic authority. Ensure they acknowledge the labor required for the human-in-the-loop auditing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synthetic test results indicate high reliability, the system is designed to support, not replace, final human judgment. Your decision is whether your current staff has the bandwidth to actively review and audit the system's outputs against the master database during a 30-day trial period."</w:t>
            </w:r>
          </w:p>
        </w:tc>
      </w:tr>
    </w:tbl>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Common Mistakes to Avoid</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preparing decision briefs summarizing AI evaluations, technical consultants and automated reporting systems routinely fall into a set of well-documented cognitive and structural traps. Avoiding these requires vigilant human oversight and strict programmatic guardrails.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The Epistemic Placebo of "Human-in-the-Loop"</w:t>
      </w:r>
      <w:r w:rsidDel="00000000" w:rsidR="00000000" w:rsidRPr="00000000">
        <w:rPr>
          <w:rFonts w:ascii="Google Sans" w:cs="Google Sans" w:eastAsia="Google Sans" w:hAnsi="Google Sans"/>
          <w:color w:val="1f1f1f"/>
          <w:rtl w:val="0"/>
        </w:rPr>
        <w:t xml:space="preserve"> A pervasive mistake in AI risk communication is invoking "human oversight" as a blanket cure for algorithmic unreliability. Research highlights that generic human-in-the-loop declarations function as "epistemic placebos"—they create the appearance of safety without genuine safeguards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Because of automation complacency—where humans reduce their vigilance when monitoring highly reliable systems—human reviewers frequently rubber-stamp AI errors, suffering from both omission and commission errors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Mistake to avoid: Stating that a system is safe simply because a human will review it, without defining the specific auditing protocol and data sources the human will rely 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Treating Synthetic Performance as Production Reality</w:t>
      </w:r>
      <w:r w:rsidDel="00000000" w:rsidR="00000000" w:rsidRPr="00000000">
        <w:rPr>
          <w:rFonts w:ascii="Google Sans" w:cs="Google Sans" w:eastAsia="Google Sans" w:hAnsi="Google Sans"/>
          <w:color w:val="1f1f1f"/>
          <w:rtl w:val="0"/>
        </w:rPr>
        <w:t xml:space="preserve"> The NIST AI Risk Management Framework explicitly warns that measuring a model's capabilities in a controlled, synthetic environment does not equate to measuring its real-world socio-technical impact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Synthetic tests represent a closed system; the real world is an open system subject to drift, adversarial inputs, and unpredictable human interactions. Presenting a result like "0 wrong routes" without the caveat "in a synthetic environment" constitutes overclaiming and violates standard AI transparency norms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Mistake to avoid: Presenting simulated test results as guaranteed future production performance.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Succumbing to the Law of Small Numbers</w:t>
      </w:r>
      <w:r w:rsidDel="00000000" w:rsidR="00000000" w:rsidRPr="00000000">
        <w:rPr>
          <w:rFonts w:ascii="Google Sans" w:cs="Google Sans" w:eastAsia="Google Sans" w:hAnsi="Google Sans"/>
          <w:color w:val="1f1f1f"/>
          <w:rtl w:val="0"/>
        </w:rPr>
        <w:t xml:space="preserve"> As detailed by Kahneman and Tversky, humans intuitively force small samples to represent large populations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If a consultant tests an AI on 10 edge cases and it succeeds on all 10, the business owner will assume the AI is infallible regarding edge cases. Statistically, a sample of 10 is highly prone to extreme variance, and a perfect score is often a mathematical artifact of the small denominator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Mistake to avoid: Presenting flawless metrics derived from small datasets without explicitly warning the reader about sample size volatility.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Ignoring Asymmetric Costs (The Accuracy Fallacy)</w:t>
      </w:r>
      <w:r w:rsidDel="00000000" w:rsidR="00000000" w:rsidRPr="00000000">
        <w:rPr>
          <w:rFonts w:ascii="Google Sans" w:cs="Google Sans" w:eastAsia="Google Sans" w:hAnsi="Google Sans"/>
          <w:color w:val="1f1f1f"/>
          <w:rtl w:val="0"/>
        </w:rPr>
        <w:t xml:space="preserve"> In machine learning, evaluating a model based purely on overall "accuracy" or the Area Under the Receiver Operating Characteristic Curve (AUC-ROC) obscures the asymmetric cost of different failure modes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For a small or mid-sized business, an AI failing to automate a task (a false negative, returning the work to a human) costs a few dollars in labor. An AI confidently executing a task incorrectly (a false positive, sending the wrong product to a client) can cost thousands in lost revenue and reputation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Mistake to avoid: Aggregating errors into a single accuracy score. Safety results (costly errors) and usefulness results (efficiency gains) must be reported separately.</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 Automation Notes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safely automate the drafting of this one-page memo, the system architecture must divide the document into fixed templates, deterministically injected data, and LLM-generated prose constrained by strict, programmatic schemas. Allowing an LLM to generate the entire document unstructured from raw data introduces catastrophic risks of numerical hallucination and sycophantic spin.</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Classification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classifies how each section of the memo should be generated within the automated pipeline.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Classification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Rationale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The Decision Ask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Judgment / LLM Drafted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an LLM can draft the core options based on data, the final framing of the business choice requires human review to ensure it aligns with the client's specific operational realities and risk tolerances.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Bottom Line / Recommendation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 Judgment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LLM can draft a baseline recommendation, but the final strategic recommendation should remain the consultant's explicit responsibility to ensure accountability.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Performance &amp; Uncertainty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Data-Driven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must be deterministically populated directly from the testing suite. No LLM should be permitted to calculate, summarize, or alter the natural frequencies.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Operational Limits &amp; Asymmetric Risks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 / LLM Drafted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Out-of-scope boundaries should rely on fixed boilerplate for standard use cases. An LLM may synthesize the specific asymmetric cost trade-offs based on consultant notes.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Human-in-the-Loop Protocol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Fixed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should be a standardized, predefined governance protocol that does not change from client to client without explicit consultant override.</w:t>
            </w:r>
          </w:p>
        </w:tc>
      </w:tr>
    </w:tbl>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Language Model Failure Modes &amp; Automated Checks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utilizing an LLM to bridge structured data (such as JSON or CSV outputs from an evaluation suite) to a narrative report, several unique failure modes emerge that must be mitigated programmatically.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1: Table-to-Text Numerical Hallucination</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LLMs struggle with high-fidelity table-to-text generation. They frequently hallucinate, round, or transpose numbers from structured inputs when generating prose, sacrificing empirical accuracy for linguistic fluidity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Automated Check:</w:t>
      </w:r>
      <w:r w:rsidDel="00000000" w:rsidR="00000000" w:rsidRPr="00000000">
        <w:rPr>
          <w:rFonts w:ascii="Google Sans" w:cs="Google Sans" w:eastAsia="Google Sans" w:hAnsi="Google Sans"/>
          <w:color w:val="1f1f1f"/>
          <w:rtl w:val="0"/>
        </w:rPr>
        <w:t xml:space="preserve"> Implement a dual-discriminator verification step or an "LLM-as-a-judge" pipeline. After the initial draft is generated, a secondary, deterministic script must parse the text, extract every numerical value, and run a direct string/value match against the source JSON data. If a number exists in the generated text that does not perfectly match the source data, the build must fail</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2: Output Schema Violation (Format Drift)</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The LLM may ignore formatting instructions, producing bulleted lists where narrative prose is required, failing to adhere to the requested headers, or exceeding the strictly defined word counts necessary for a one-page memo.</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Automated Check:</w:t>
      </w:r>
      <w:r w:rsidDel="00000000" w:rsidR="00000000" w:rsidRPr="00000000">
        <w:rPr>
          <w:rFonts w:ascii="Google Sans" w:cs="Google Sans" w:eastAsia="Google Sans" w:hAnsi="Google Sans"/>
          <w:color w:val="1f1f1f"/>
          <w:rtl w:val="0"/>
        </w:rPr>
        <w:t xml:space="preserve"> Utilize rigorous structured output frameworks, such as Pydantic combined with libraries like DSPy or Instructor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By enforcing a Pydantic schema (e.g., class MemoSection(BaseModel)), the generation process is deterministically constrained to the exact JSON structure required. This ensures the output is instantly parseable into the final document template without formatting drift</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Failure Mode 3: Sycophantic Spin and Dropped Caveats</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Mechanism:</w:t>
      </w:r>
      <w:r w:rsidDel="00000000" w:rsidR="00000000" w:rsidRPr="00000000">
        <w:rPr>
          <w:rFonts w:ascii="Google Sans" w:cs="Google Sans" w:eastAsia="Google Sans" w:hAnsi="Google Sans"/>
          <w:color w:val="1f1f1f"/>
          <w:rtl w:val="0"/>
        </w:rPr>
        <w:t xml:space="preserve"> Due to alignment tuning, LLMs exhibit high rates of sycophancy. They may artificially soften bad news, validate user targets even when the data falls short, or drop explicitly requested limitations (like "synthetic test cases") to make the system sound more capable and pleasing to the user</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Automated Check:</w:t>
      </w:r>
      <w:r w:rsidDel="00000000" w:rsidR="00000000" w:rsidRPr="00000000">
        <w:rPr>
          <w:rFonts w:ascii="Google Sans" w:cs="Google Sans" w:eastAsia="Google Sans" w:hAnsi="Google Sans"/>
          <w:color w:val="1f1f1f"/>
          <w:rtl w:val="0"/>
        </w:rPr>
        <w:t xml:space="preserve"> Implement a Semantic Validator (utilizing Pydantic AI or Guardrails AI)</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Before the draft is finalized, a distinct prompt must run an "Overclaiming Check." The prompt specifically asks the evaluator model: </w:t>
      </w:r>
      <w:r w:rsidDel="00000000" w:rsidR="00000000" w:rsidRPr="00000000">
        <w:rPr>
          <w:rFonts w:ascii="Google Sans" w:cs="Google Sans" w:eastAsia="Google Sans" w:hAnsi="Google Sans"/>
          <w:i w:val="1"/>
          <w:iCs w:val="1"/>
          <w:color w:val="1f1f1f"/>
          <w:rtl w:val="0"/>
        </w:rPr>
        <w:t xml:space="preserve">"Does this text guarantee future real-world performance? Does it omit the exact phrase 'synthetic test cases'?"</w:t>
      </w:r>
      <w:r w:rsidDel="00000000" w:rsidR="00000000" w:rsidRPr="00000000">
        <w:rPr>
          <w:rFonts w:ascii="Google Sans" w:cs="Google Sans" w:eastAsia="Google Sans" w:hAnsi="Google Sans"/>
          <w:color w:val="1f1f1f"/>
          <w:rtl w:val="0"/>
        </w:rPr>
        <w:t xml:space="preserve"> If the validator flags overclaiming or the omission of mandatory caveats, the text is automatically rejected and returned for regeneration</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 Review Checklist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delivering the automated, human-approved memo to a non-technical executive, the consultant must utilize a rigorous evaluation framework. The following 15-point checklist integrates ISO 24495-1 plain language standards, NIST AI 600-1 transparency guidelines, and cognitive de-biasing principles to ensure the document is fit for executive consumption.</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Checklist Question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Structure &amp; Clarity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Is the primary decision the executive needs to make stated clearly within the first 50 words?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Are the available options presented using MECE (Mutually Exclusive, Collectively Exhaustive) principles?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Is the document entirely free of machine learning jargon (e.g., AUC, hallucination, stochastic, RAG)?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Are the sentences short and structured according to ISO 24495-1 principles to ensure the information is usable?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&amp; Uncertainty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Are all performance metrics presented as "natural frequencies" (e.g., 18 out of 23) rather than standalone percentages?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Is the reference class explicitly stated every time a number is used (e.g., "18 out of 23 </w:t>
            </w:r>
            <w:r w:rsidDel="00000000" w:rsidR="00000000" w:rsidRPr="00000000">
              <w:rPr>
                <w:rFonts w:ascii="Google Sans" w:cs="Google Sans" w:eastAsia="Google Sans" w:hAnsi="Google Sans"/>
                <w:i w:val="1"/>
                <w:iCs w:val="1"/>
                <w:color w:val="1f1f1f"/>
                <w:rtl w:val="0"/>
              </w:rPr>
              <w:t xml:space="preserve">synthetic test cases</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Are uncertainties regarding future performance communicated using numerical ranges rather than vague verbal hedges (e.g., "highly likely")?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Is the small sample size explicitly acknowledged to prevent overconfidence induced by the Law of Small Numbers?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&amp; Limitations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Are usefulness results (efficiency gains) and safety results (costly errors) reported separately, avoiding aggregated accuracy scores?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Is the asymmetric cost of an error explicitly stated in business terms (e.g., the cost of a false positive vs. a false negative)?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Are the out-of-scope uses explicitly documented, detailing what the system was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tested 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Is it clearly and repeatedly stated that the results are derived from synthetic/simulated data, not real-world production?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Human-AI Interaction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Does the memo avoid using "human-in-the-loop" as a vague, unsupported guarantee of safety (an epistemic placebo)?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Is the specific protocol for how the human will audit the AI's work (including independent data sources) clearly defined?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Did the automated numerical check pass, verifying that every number generated in the prose matches the source test data exactly?</w:t>
            </w:r>
          </w:p>
        </w:tc>
      </w:tr>
    </w:tbl>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 Sources</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URL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Artificial Intelligence Risk Management Framework (AI RMF 1.0) (NIST AI 100-1)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https://nvlpubs.nist.gov/nistpubs/ai/NIST.AI.100-1.pdf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Government / Standards Body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Artificial Intelligence Risk Management Framework: Generative Artificial Intelligence Profile (NIST AI 600-1)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https://nvlpubs.nist.gov/nistpubs/ai/NIST.AI.600-1.pdf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Government / Standards Body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Belief in the Law of Small Numbers</w:t>
            </w:r>
            <w:r w:rsidDel="00000000" w:rsidR="00000000" w:rsidRPr="00000000">
              <w:rPr>
                <w:rFonts w:ascii="Google Sans" w:cs="Google Sans" w:eastAsia="Google Sans" w:hAnsi="Google Sans"/>
                <w:color w:val="1f1f1f"/>
                <w:rtl w:val="0"/>
              </w:rPr>
              <w:t xml:space="preserve"> (Tversky, A., &amp; Kahneman,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https://psychology.iresearchnet.com/social-psychology/decision-making/law-of-small-numbers/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Peer-reviewed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Complacency and Bias in Human Use of Automation: An Attentional Integration</w:t>
            </w:r>
            <w:r w:rsidDel="00000000" w:rsidR="00000000" w:rsidRPr="00000000">
              <w:rPr>
                <w:rFonts w:ascii="Google Sans" w:cs="Google Sans" w:eastAsia="Google Sans" w:hAnsi="Google Sans"/>
                <w:color w:val="1f1f1f"/>
                <w:rtl w:val="0"/>
              </w:rPr>
              <w:t xml:space="preserve"> (Parasuraman, R., &amp; Manzey, 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https://www.scribd.com/document/800797485/Parasuraman-Manzey-2010-Complacency-and-Bias-in-Human-Use-of-Automation-An-Attentional-Integration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Peer-reviewed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Effects of communicating uncertainty on public trust in facts and numbers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https://www.pnas.org/doi/pdf/10.1073/pnas.1913678117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Peer-reviewed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FM 6-0: Commander and Staff Organization and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https://www.scribd.com/document/648027706/FM-6-0-May-2022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How to improve Bayesian reasoning without instruction: frequency formats</w:t>
            </w:r>
            <w:r w:rsidDel="00000000" w:rsidR="00000000" w:rsidRPr="00000000">
              <w:rPr>
                <w:rFonts w:ascii="Google Sans" w:cs="Google Sans" w:eastAsia="Google Sans" w:hAnsi="Google Sans"/>
                <w:color w:val="1f1f1f"/>
                <w:rtl w:val="0"/>
              </w:rPr>
              <w:t xml:space="preserve"> (Gigerenzer, G., &amp; Hoffrage, 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https://pure.mpg.de/rest/items/item_2101953_6/component/file_2101952/content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Peer-reviewed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ISO 24495-1:2023 Plain language — Part 1: Governing principles and guidelines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https://www.iplfederation.org/iso-standard/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Standards Body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Model Cards for Model Reporting</w:t>
            </w:r>
            <w:r w:rsidDel="00000000" w:rsidR="00000000" w:rsidRPr="00000000">
              <w:rPr>
                <w:rFonts w:ascii="Google Sans" w:cs="Google Sans" w:eastAsia="Google Sans" w:hAnsi="Google Sans"/>
                <w:color w:val="1f1f1f"/>
                <w:rtl w:val="0"/>
              </w:rPr>
              <w:t xml:space="preserve"> (Mitchell, M., et 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https://arxiv.org/abs/1810.03993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Peer-reviewed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Social Sycophancy in Large Language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https://arxiv.org/html/2505.13995v1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Peer-reviewed / Pre-print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Epistemic and Geopolitical Frontier of Autonomous AI... and Epistemic Placebos</w:t>
            </w:r>
            <w:r w:rsidDel="00000000" w:rsidR="00000000" w:rsidRPr="00000000">
              <w:rPr>
                <w:rFonts w:ascii="Google Sans" w:cs="Google Sans" w:eastAsia="Google Sans" w:hAnsi="Google Sans"/>
                <w:color w:val="1f1f1f"/>
                <w:rtl w:val="0"/>
              </w:rPr>
              <w:t xml:space="preserve"> (Akgün, 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https://www.researchgate.net/publication/405494479_The_Epistemic_and_Geopolitical_Frontier_of_Autonomous_AI_Cognitive_Offloading_Structural_Macroeconomics_Superstar_Firms_and_Sovereign_Crisis_Management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Practitioner / Peer-reviewed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Ultimate Guide to Guardrails in GenAI: Securing and Standardizing LLM Applications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https://medium.com/@ajayverma23/the-ultimate-guide-to-guardrails-in-genai-securing-and-standardizing-llm-applications-1502c90fdc72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Practitioner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What is AUC-ROC in LLM Evals?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https://futureagi.com/blog/what-is-auc-roc-llm-evals-2026/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Practitioner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ISO/IEC 25059:2023 Systems and software Quality Requirements and Evaluation (SQuaRE) — Quality model for AI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https://digital.nemko.com/standards/iso-iec-25059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Standards Body</w:t>
            </w:r>
          </w:p>
        </w:tc>
      </w:tr>
    </w:tbl>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McKinsey's Pyramid Principle Framework Explained - YouTube, </w:t>
      </w:r>
      <w:hyperlink r:id="rId6">
        <w:r w:rsidDel="00000000" w:rsidR="00000000" w:rsidRPr="00000000">
          <w:rPr>
            <w:rFonts w:ascii="Google Sans" w:cs="Google Sans" w:eastAsia="Google Sans" w:hAnsi="Google Sans"/>
            <w:color w:val="0000ee"/>
            <w:sz w:val="24"/>
            <w:szCs w:val="24"/>
            <w:u w:val="single"/>
            <w:rtl w:val="0"/>
          </w:rPr>
          <w:t xml:space="preserve">https://www.youtube.com/watch?v=Jtx01xQNw5A</w:t>
        </w:r>
      </w:hyperlink>
      <w:r w:rsidDel="00000000" w:rsidR="00000000" w:rsidRPr="00000000">
        <w:rPr>
          <w:rtl w:val="0"/>
        </w:rPr>
      </w:r>
    </w:p>
    <w:p w:rsidR="00000000" w:rsidDel="00000000" w:rsidP="00000000" w:rsidRDefault="00000000" w:rsidRPr="00000000" w14:paraId="000000D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Cards for Model Reporting | alphaXiv, </w:t>
      </w:r>
      <w:hyperlink r:id="rId7">
        <w:r w:rsidDel="00000000" w:rsidR="00000000" w:rsidRPr="00000000">
          <w:rPr>
            <w:rFonts w:ascii="Google Sans" w:cs="Google Sans" w:eastAsia="Google Sans" w:hAnsi="Google Sans"/>
            <w:color w:val="0000ee"/>
            <w:sz w:val="24"/>
            <w:szCs w:val="24"/>
            <w:u w:val="single"/>
            <w:rtl w:val="0"/>
          </w:rPr>
          <w:t xml:space="preserve">https://www.alphaxiv.org/abs/1810.03993</w:t>
        </w:r>
      </w:hyperlink>
      <w:r w:rsidDel="00000000" w:rsidR="00000000" w:rsidRPr="00000000">
        <w:rPr>
          <w:rtl w:val="0"/>
        </w:rPr>
      </w:r>
    </w:p>
    <w:p w:rsidR="00000000" w:rsidDel="00000000" w:rsidP="00000000" w:rsidRDefault="00000000" w:rsidRPr="00000000" w14:paraId="000000D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FM 6-0: Commander and Staff Operations | PDF - Scribd, </w:t>
      </w:r>
      <w:hyperlink r:id="rId8">
        <w:r w:rsidDel="00000000" w:rsidR="00000000" w:rsidRPr="00000000">
          <w:rPr>
            <w:rFonts w:ascii="Google Sans" w:cs="Google Sans" w:eastAsia="Google Sans" w:hAnsi="Google Sans"/>
            <w:color w:val="0000ee"/>
            <w:sz w:val="24"/>
            <w:szCs w:val="24"/>
            <w:u w:val="single"/>
            <w:rtl w:val="0"/>
          </w:rPr>
          <w:t xml:space="preserve">https://www.scribd.com/document/648027706/FM-6-0-May-2022</w:t>
        </w:r>
      </w:hyperlink>
      <w:r w:rsidDel="00000000" w:rsidR="00000000" w:rsidRPr="00000000">
        <w:rPr>
          <w:rtl w:val="0"/>
        </w:rPr>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MSTP Pamphlet 6-0.1 - Training Command, </w:t>
      </w:r>
      <w:hyperlink r:id="rId9">
        <w:r w:rsidDel="00000000" w:rsidR="00000000" w:rsidRPr="00000000">
          <w:rPr>
            <w:rFonts w:ascii="Google Sans" w:cs="Google Sans" w:eastAsia="Google Sans" w:hAnsi="Google Sans"/>
            <w:color w:val="0000ee"/>
            <w:sz w:val="24"/>
            <w:szCs w:val="24"/>
            <w:u w:val="single"/>
            <w:rtl w:val="0"/>
          </w:rPr>
          <w:t xml:space="preserve">https://www.trngcmd.marines.mil/portals/207/docs/wtbn/mccmos/mstp%20pamphlet%20command%20and%20staff_actions.pdf</w:t>
        </w:r>
      </w:hyperlink>
      <w:r w:rsidDel="00000000" w:rsidR="00000000" w:rsidRPr="00000000">
        <w:rPr>
          <w:rtl w:val="0"/>
        </w:rPr>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Pyramid Principle - Consulting Toolbox (with Examples), </w:t>
      </w:r>
      <w:hyperlink r:id="rId10">
        <w:r w:rsidDel="00000000" w:rsidR="00000000" w:rsidRPr="00000000">
          <w:rPr>
            <w:rFonts w:ascii="Google Sans" w:cs="Google Sans" w:eastAsia="Google Sans" w:hAnsi="Google Sans"/>
            <w:color w:val="0000ee"/>
            <w:sz w:val="24"/>
            <w:szCs w:val="24"/>
            <w:u w:val="single"/>
            <w:rtl w:val="0"/>
          </w:rPr>
          <w:t xml:space="preserve">https://slideworks.io/resources/the-pyramid-principle-mckinsey-toolbox-with-examples</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Cards, System Cards, and the EU Form - CASRAI, </w:t>
      </w:r>
      <w:hyperlink r:id="rId11">
        <w:r w:rsidDel="00000000" w:rsidR="00000000" w:rsidRPr="00000000">
          <w:rPr>
            <w:rFonts w:ascii="Google Sans" w:cs="Google Sans" w:eastAsia="Google Sans" w:hAnsi="Google Sans"/>
            <w:color w:val="0000ee"/>
            <w:sz w:val="24"/>
            <w:szCs w:val="24"/>
            <w:u w:val="single"/>
            <w:rtl w:val="0"/>
          </w:rPr>
          <w:t xml:space="preserve">https://casrai.org/guides/model-cards-and-system-cards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Representation facilitates reasoning: what natural frequencies are, </w:t>
      </w:r>
      <w:hyperlink r:id="rId12">
        <w:r w:rsidDel="00000000" w:rsidR="00000000" w:rsidRPr="00000000">
          <w:rPr>
            <w:rFonts w:ascii="Google Sans" w:cs="Google Sans" w:eastAsia="Google Sans" w:hAnsi="Google Sans"/>
            <w:color w:val="0000ee"/>
            <w:sz w:val="24"/>
            <w:szCs w:val="24"/>
            <w:u w:val="single"/>
            <w:rtl w:val="0"/>
          </w:rPr>
          <w:t xml:space="preserve">https://pure.mpg.de/rest/items/item_2101953_6/component/file_2101952/content</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natural frequencies? : BMJ - Ovid, </w:t>
      </w:r>
      <w:hyperlink r:id="rId13">
        <w:r w:rsidDel="00000000" w:rsidR="00000000" w:rsidRPr="00000000">
          <w:rPr>
            <w:rFonts w:ascii="Google Sans" w:cs="Google Sans" w:eastAsia="Google Sans" w:hAnsi="Google Sans"/>
            <w:color w:val="0000ee"/>
            <w:sz w:val="24"/>
            <w:szCs w:val="24"/>
            <w:u w:val="single"/>
            <w:rtl w:val="0"/>
          </w:rPr>
          <w:t xml:space="preserve">https://www.ovid.com/journals/bmjd/fulltext/10.1136/bmj.d6386~what-are-natural-frequencies</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Gigerenzer, G. (2011). What are natural frequencies? Doctors, </w:t>
      </w:r>
      <w:hyperlink r:id="rId14">
        <w:r w:rsidDel="00000000" w:rsidR="00000000" w:rsidRPr="00000000">
          <w:rPr>
            <w:rFonts w:ascii="Google Sans" w:cs="Google Sans" w:eastAsia="Google Sans" w:hAnsi="Google Sans"/>
            <w:color w:val="0000ee"/>
            <w:sz w:val="24"/>
            <w:szCs w:val="24"/>
            <w:u w:val="single"/>
            <w:rtl w:val="0"/>
          </w:rPr>
          <w:t xml:space="preserve">https://pure.mpg.de/rest/items/item_2099208_9/component/file_3562683/content</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Standard - International Plain Language Federation, </w:t>
      </w:r>
      <w:hyperlink r:id="rId15">
        <w:r w:rsidDel="00000000" w:rsidR="00000000" w:rsidRPr="00000000">
          <w:rPr>
            <w:rFonts w:ascii="Google Sans" w:cs="Google Sans" w:eastAsia="Google Sans" w:hAnsi="Google Sans"/>
            <w:color w:val="0000ee"/>
            <w:sz w:val="24"/>
            <w:szCs w:val="24"/>
            <w:u w:val="single"/>
            <w:rtl w:val="0"/>
          </w:rPr>
          <w:t xml:space="preserve">https://www.iplfederation.org/iso-standard/</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24495-1 – the first standard for Plain Language - mt-g, </w:t>
      </w:r>
      <w:hyperlink r:id="rId16">
        <w:r w:rsidDel="00000000" w:rsidR="00000000" w:rsidRPr="00000000">
          <w:rPr>
            <w:rFonts w:ascii="Google Sans" w:cs="Google Sans" w:eastAsia="Google Sans" w:hAnsi="Google Sans"/>
            <w:color w:val="0000ee"/>
            <w:sz w:val="24"/>
            <w:szCs w:val="24"/>
            <w:u w:val="single"/>
            <w:rtl w:val="0"/>
          </w:rPr>
          <w:t xml:space="preserve">https://www.mt-g.com/en/news/blog/iso-24495-1</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24495-1:2023 - Plain language standard - ITLawCo, </w:t>
      </w:r>
      <w:hyperlink r:id="rId17">
        <w:r w:rsidDel="00000000" w:rsidR="00000000" w:rsidRPr="00000000">
          <w:rPr>
            <w:rFonts w:ascii="Google Sans" w:cs="Google Sans" w:eastAsia="Google Sans" w:hAnsi="Google Sans"/>
            <w:color w:val="0000ee"/>
            <w:sz w:val="24"/>
            <w:szCs w:val="24"/>
            <w:u w:val="single"/>
            <w:rtl w:val="0"/>
          </w:rPr>
          <w:t xml:space="preserve">https://itlawco.com/iso-24495-12023-plain-language-standard/</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Plain Language in Action: How to Apply ISO 24495-1 - Hansem Global, </w:t>
      </w:r>
      <w:hyperlink r:id="rId18">
        <w:r w:rsidDel="00000000" w:rsidR="00000000" w:rsidRPr="00000000">
          <w:rPr>
            <w:rFonts w:ascii="Google Sans" w:cs="Google Sans" w:eastAsia="Google Sans" w:hAnsi="Google Sans"/>
            <w:color w:val="0000ee"/>
            <w:sz w:val="24"/>
            <w:szCs w:val="24"/>
            <w:u w:val="single"/>
            <w:rtl w:val="0"/>
          </w:rPr>
          <w:t xml:space="preserve">https://hansem.com/blog/plain-language-iso-24495-1-guide/</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Bridge Between Artificial Intelligence and Predictive ... - MDPI, </w:t>
      </w:r>
      <w:hyperlink r:id="rId19">
        <w:r w:rsidDel="00000000" w:rsidR="00000000" w:rsidRPr="00000000">
          <w:rPr>
            <w:rFonts w:ascii="Google Sans" w:cs="Google Sans" w:eastAsia="Google Sans" w:hAnsi="Google Sans"/>
            <w:color w:val="0000ee"/>
            <w:sz w:val="24"/>
            <w:szCs w:val="24"/>
            <w:u w:val="single"/>
            <w:rtl w:val="0"/>
          </w:rPr>
          <w:t xml:space="preserve">https://www.mdpi.com/2076-3417/16/10/4882</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AUC-ROC for LLM Evals 2026 - Future AGI, </w:t>
      </w:r>
      <w:hyperlink r:id="rId20">
        <w:r w:rsidDel="00000000" w:rsidR="00000000" w:rsidRPr="00000000">
          <w:rPr>
            <w:rFonts w:ascii="Google Sans" w:cs="Google Sans" w:eastAsia="Google Sans" w:hAnsi="Google Sans"/>
            <w:color w:val="0000ee"/>
            <w:sz w:val="24"/>
            <w:szCs w:val="24"/>
            <w:u w:val="single"/>
            <w:rtl w:val="0"/>
          </w:rPr>
          <w:t xml:space="preserve">https://futureagi.com/blog/what-is-auc-roc-llm-evals-2026/</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the Application of Modern Statistical Techniques in, </w:t>
      </w:r>
      <w:hyperlink r:id="rId21">
        <w:r w:rsidDel="00000000" w:rsidR="00000000" w:rsidRPr="00000000">
          <w:rPr>
            <w:rFonts w:ascii="Google Sans" w:cs="Google Sans" w:eastAsia="Google Sans" w:hAnsi="Google Sans"/>
            <w:color w:val="0000ee"/>
            <w:sz w:val="24"/>
            <w:szCs w:val="24"/>
            <w:u w:val="single"/>
            <w:rtl w:val="0"/>
          </w:rPr>
          <w:t xml:space="preserve">https://www.mdpi.com/2571-5577/9/4/83</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Bridge Between Artificial Intelligence and Predictive,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https://www.researchgate.net/publication/404856484_The_Bridge_Between_Artificial_Intelligence_and_Predictive_Maintenance_in_Industry_40_A_Systematic_Review</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Epistemic Authority–Trust–Responsibility (ETR) Architecture, </w:t>
      </w:r>
      <w:hyperlink r:id="rId23">
        <w:r w:rsidDel="00000000" w:rsidR="00000000" w:rsidRPr="00000000">
          <w:rPr>
            <w:rFonts w:ascii="Google Sans" w:cs="Google Sans" w:eastAsia="Google Sans" w:hAnsi="Google Sans"/>
            <w:color w:val="0000ee"/>
            <w:sz w:val="24"/>
            <w:szCs w:val="24"/>
            <w:u w:val="single"/>
            <w:rtl w:val="0"/>
          </w:rPr>
          <w:t xml:space="preserve">https://www.researchgate.net/figure/The-Epistemic-Authority-Trust-Responsibility-ETR-Architecture-The-framework-integrates_fig1_404000265</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Thoracic Research and Practice, </w:t>
      </w:r>
      <w:hyperlink r:id="rId24">
        <w:r w:rsidDel="00000000" w:rsidR="00000000" w:rsidRPr="00000000">
          <w:rPr>
            <w:rFonts w:ascii="Google Sans" w:cs="Google Sans" w:eastAsia="Google Sans" w:hAnsi="Google Sans"/>
            <w:color w:val="0000ee"/>
            <w:sz w:val="24"/>
            <w:szCs w:val="24"/>
            <w:u w:val="single"/>
            <w:rtl w:val="0"/>
          </w:rPr>
          <w:t xml:space="preserve">https://www.thoracrespract.org/pdf/68ab204c-182b-49da-b227-bc7efe058632/issues/2026-027-005.pdf?v=1788776905201</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Automation bias - Wikipedia, </w:t>
      </w:r>
      <w:hyperlink r:id="rId25">
        <w:r w:rsidDel="00000000" w:rsidR="00000000" w:rsidRPr="00000000">
          <w:rPr>
            <w:rFonts w:ascii="Google Sans" w:cs="Google Sans" w:eastAsia="Google Sans" w:hAnsi="Google Sans"/>
            <w:color w:val="0000ee"/>
            <w:sz w:val="24"/>
            <w:szCs w:val="24"/>
            <w:u w:val="single"/>
            <w:rtl w:val="0"/>
          </w:rPr>
          <w:t xml:space="preserve">https://en.wikipedia.org/wiki/Automation_bias</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Parasuraman &amp; Manzey, 2010: Complacency and Bias in Human, </w:t>
      </w:r>
      <w:hyperlink r:id="rId26">
        <w:r w:rsidDel="00000000" w:rsidR="00000000" w:rsidRPr="00000000">
          <w:rPr>
            <w:rFonts w:ascii="Google Sans" w:cs="Google Sans" w:eastAsia="Google Sans" w:hAnsi="Google Sans"/>
            <w:color w:val="0000ee"/>
            <w:sz w:val="24"/>
            <w:szCs w:val="24"/>
            <w:u w:val="single"/>
            <w:rtl w:val="0"/>
          </w:rPr>
          <w:t xml:space="preserve">https://www.scribd.com/document/800797485/Parasuraman-Manzey-2010-Complacency-and-Bias-in-Human-Use-of-Automation-An-Attentional-Integration</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Impact of Automation Bias and Complacency on, </w:t>
      </w:r>
      <w:hyperlink r:id="rId27">
        <w:r w:rsidDel="00000000" w:rsidR="00000000" w:rsidRPr="00000000">
          <w:rPr>
            <w:rFonts w:ascii="Google Sans" w:cs="Google Sans" w:eastAsia="Google Sans" w:hAnsi="Google Sans"/>
            <w:color w:val="0000ee"/>
            <w:sz w:val="24"/>
            <w:szCs w:val="24"/>
            <w:u w:val="single"/>
            <w:rtl w:val="0"/>
          </w:rPr>
          <w:t xml:space="preserve">https://repository.essex.ac.uk/35906/1/mqad034.pdf</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Complacency and Bias in Human Use of Automation: An Attentional, </w:t>
      </w:r>
      <w:hyperlink r:id="rId28">
        <w:r w:rsidDel="00000000" w:rsidR="00000000" w:rsidRPr="00000000">
          <w:rPr>
            <w:rFonts w:ascii="Google Sans" w:cs="Google Sans" w:eastAsia="Google Sans" w:hAnsi="Google Sans"/>
            <w:color w:val="0000ee"/>
            <w:sz w:val="24"/>
            <w:szCs w:val="24"/>
            <w:u w:val="single"/>
            <w:rtl w:val="0"/>
          </w:rPr>
          <w:t xml:space="preserve">https://www.researchgate.net/publication/47792928_Complacency_and_Bias_in_Human_Use_of_Automation_An_Attentional_Integration</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uncertainty communication on public trust depends on, </w:t>
      </w:r>
      <w:hyperlink r:id="rId29">
        <w:r w:rsidDel="00000000" w:rsidR="00000000" w:rsidRPr="00000000">
          <w:rPr>
            <w:rFonts w:ascii="Google Sans" w:cs="Google Sans" w:eastAsia="Google Sans" w:hAnsi="Google Sans"/>
            <w:color w:val="0000ee"/>
            <w:sz w:val="24"/>
            <w:szCs w:val="24"/>
            <w:u w:val="single"/>
            <w:rtl w:val="0"/>
          </w:rPr>
          <w:t xml:space="preserve">https://www.repository.cam.ac.uk/bitstreams/c019ed9f-ef97-4920-8b7d-013e3babb0fc/download</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communicating uncertainty on public trust in facts and, </w:t>
      </w:r>
      <w:hyperlink r:id="rId30">
        <w:r w:rsidDel="00000000" w:rsidR="00000000" w:rsidRPr="00000000">
          <w:rPr>
            <w:rFonts w:ascii="Google Sans" w:cs="Google Sans" w:eastAsia="Google Sans" w:hAnsi="Google Sans"/>
            <w:color w:val="0000ee"/>
            <w:sz w:val="24"/>
            <w:szCs w:val="24"/>
            <w:u w:val="single"/>
            <w:rtl w:val="0"/>
          </w:rPr>
          <w:t xml:space="preserve">https://www.pnas.org/doi/pdf/10.1073/pnas.1913678117</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communicating scientific uncertainty on trust and, </w:t>
      </w:r>
      <w:hyperlink r:id="rId31">
        <w:r w:rsidDel="00000000" w:rsidR="00000000" w:rsidRPr="00000000">
          <w:rPr>
            <w:rFonts w:ascii="Google Sans" w:cs="Google Sans" w:eastAsia="Google Sans" w:hAnsi="Google Sans"/>
            <w:color w:val="0000ee"/>
            <w:sz w:val="24"/>
            <w:szCs w:val="24"/>
            <w:u w:val="single"/>
            <w:rtl w:val="0"/>
          </w:rPr>
          <w:t xml:space="preserve">https://www.repository.cam.ac.uk/bitstreams/aacbefa1-b318-456a-88a7-b99ee443dfb8/download</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Assessing Risks and Impacts of AI (ARIA) Program Evaluation, </w:t>
      </w:r>
      <w:hyperlink r:id="rId32">
        <w:r w:rsidDel="00000000" w:rsidR="00000000" w:rsidRPr="00000000">
          <w:rPr>
            <w:rFonts w:ascii="Google Sans" w:cs="Google Sans" w:eastAsia="Google Sans" w:hAnsi="Google Sans"/>
            <w:color w:val="0000ee"/>
            <w:sz w:val="24"/>
            <w:szCs w:val="24"/>
            <w:u w:val="single"/>
            <w:rtl w:val="0"/>
          </w:rPr>
          <w:t xml:space="preserve">https://ai-challenges.nist.gov/aria/docs/ARIA_Program_Companion_Document_Dec20.pdf</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Risk Management Framework (AI RMF 1.0), </w:t>
      </w:r>
      <w:hyperlink r:id="rId33">
        <w:r w:rsidDel="00000000" w:rsidR="00000000" w:rsidRPr="00000000">
          <w:rPr>
            <w:rFonts w:ascii="Google Sans" w:cs="Google Sans" w:eastAsia="Google Sans" w:hAnsi="Google Sans"/>
            <w:color w:val="0000ee"/>
            <w:sz w:val="24"/>
            <w:szCs w:val="24"/>
            <w:u w:val="single"/>
            <w:rtl w:val="0"/>
          </w:rPr>
          <w:t xml:space="preserve">https://nvlpubs.nist.gov/nistpubs/ai/NIST.AI.100-1.pdf</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Risk Management Framework - NIST, </w:t>
      </w:r>
      <w:hyperlink r:id="rId34">
        <w:r w:rsidDel="00000000" w:rsidR="00000000" w:rsidRPr="00000000">
          <w:rPr>
            <w:rFonts w:ascii="Google Sans" w:cs="Google Sans" w:eastAsia="Google Sans" w:hAnsi="Google Sans"/>
            <w:color w:val="0000ee"/>
            <w:sz w:val="24"/>
            <w:szCs w:val="24"/>
            <w:u w:val="single"/>
            <w:rtl w:val="0"/>
          </w:rPr>
          <w:t xml:space="preserve">https://www.nist.gov/publications/artificial-intelligence-risk-management-framework-generative-artificial-intelligence</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NIST.AI.600-1.GenAI-Profile.ipd.pdf, </w:t>
      </w:r>
      <w:hyperlink r:id="rId35">
        <w:r w:rsidDel="00000000" w:rsidR="00000000" w:rsidRPr="00000000">
          <w:rPr>
            <w:rFonts w:ascii="Google Sans" w:cs="Google Sans" w:eastAsia="Google Sans" w:hAnsi="Google Sans"/>
            <w:color w:val="0000ee"/>
            <w:sz w:val="24"/>
            <w:szCs w:val="24"/>
            <w:u w:val="single"/>
            <w:rtl w:val="0"/>
          </w:rPr>
          <w:t xml:space="preserve">https://airc.nist.gov/docs/NIST.AI.600-1.GenAI-Profile.ipd.pdf</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Sycophancy and Decisions - arXiv, </w:t>
      </w:r>
      <w:hyperlink r:id="rId36">
        <w:r w:rsidDel="00000000" w:rsidR="00000000" w:rsidRPr="00000000">
          <w:rPr>
            <w:rFonts w:ascii="Google Sans" w:cs="Google Sans" w:eastAsia="Google Sans" w:hAnsi="Google Sans"/>
            <w:color w:val="0000ee"/>
            <w:sz w:val="24"/>
            <w:szCs w:val="24"/>
            <w:u w:val="single"/>
            <w:rtl w:val="0"/>
          </w:rPr>
          <w:t xml:space="preserve">https://arxiv.org/html/2607.28133v1</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Sycophancy: A Broader Understanding of LLM ... - arXiv, </w:t>
      </w:r>
      <w:hyperlink r:id="rId37">
        <w:r w:rsidDel="00000000" w:rsidR="00000000" w:rsidRPr="00000000">
          <w:rPr>
            <w:rFonts w:ascii="Google Sans" w:cs="Google Sans" w:eastAsia="Google Sans" w:hAnsi="Google Sans"/>
            <w:color w:val="0000ee"/>
            <w:sz w:val="24"/>
            <w:szCs w:val="24"/>
            <w:u w:val="single"/>
            <w:rtl w:val="0"/>
          </w:rPr>
          <w:t xml:space="preserve">https://arxiv.org/html/2505.13995v1</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Bullshit: Characterizing the Emergent Disregard for Truth in, </w:t>
      </w:r>
      <w:hyperlink r:id="rId38">
        <w:r w:rsidDel="00000000" w:rsidR="00000000" w:rsidRPr="00000000">
          <w:rPr>
            <w:rFonts w:ascii="Google Sans" w:cs="Google Sans" w:eastAsia="Google Sans" w:hAnsi="Google Sans"/>
            <w:color w:val="0000ee"/>
            <w:sz w:val="24"/>
            <w:szCs w:val="24"/>
            <w:u w:val="single"/>
            <w:rtl w:val="0"/>
          </w:rPr>
          <w:t xml:space="preserve">https://arxiv.org/pdf/2507.07484</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of Small Numbers (SOCIAL PSYCHOLOGY) - iResearchNet, </w:t>
      </w:r>
      <w:hyperlink r:id="rId39">
        <w:r w:rsidDel="00000000" w:rsidR="00000000" w:rsidRPr="00000000">
          <w:rPr>
            <w:rFonts w:ascii="Google Sans" w:cs="Google Sans" w:eastAsia="Google Sans" w:hAnsi="Google Sans"/>
            <w:color w:val="0000ee"/>
            <w:sz w:val="24"/>
            <w:szCs w:val="24"/>
            <w:u w:val="single"/>
            <w:rtl w:val="0"/>
          </w:rPr>
          <w:t xml:space="preserve">https://psychology.iresearchnet.com/social-psychology/decision-making/law-of-small-numbers/</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Misconceptions of Small Sample Representativeness | PDF - Scribd, </w:t>
      </w:r>
      <w:hyperlink r:id="rId40">
        <w:r w:rsidDel="00000000" w:rsidR="00000000" w:rsidRPr="00000000">
          <w:rPr>
            <w:rFonts w:ascii="Google Sans" w:cs="Google Sans" w:eastAsia="Google Sans" w:hAnsi="Google Sans"/>
            <w:color w:val="0000ee"/>
            <w:sz w:val="24"/>
            <w:szCs w:val="24"/>
            <w:u w:val="single"/>
            <w:rtl w:val="0"/>
          </w:rPr>
          <w:t xml:space="preserve">https://www.scribd.com/document/410649977/Kahneman-Tversky-Belief-in-the-law-of-small-numbers-pdf</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Relative Insensitivity to Sample Sizes, </w:t>
      </w:r>
      <w:hyperlink r:id="rId41">
        <w:r w:rsidDel="00000000" w:rsidR="00000000" w:rsidRPr="00000000">
          <w:rPr>
            <w:rFonts w:ascii="Google Sans" w:cs="Google Sans" w:eastAsia="Google Sans" w:hAnsi="Google Sans"/>
            <w:color w:val="0000ee"/>
            <w:sz w:val="24"/>
            <w:szCs w:val="24"/>
            <w:u w:val="single"/>
            <w:rtl w:val="0"/>
          </w:rPr>
          <w:t xml:space="preserve">https://ira.lib.polyu.edu.hk/bitstream/10397/97232/1/Zhan_Relative_Insensitivity_Sample.pdf</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Law of Small Numbers: Why Stats Fool You - Yu-kai Chou, </w:t>
      </w:r>
      <w:hyperlink r:id="rId42">
        <w:r w:rsidDel="00000000" w:rsidR="00000000" w:rsidRPr="00000000">
          <w:rPr>
            <w:rFonts w:ascii="Google Sans" w:cs="Google Sans" w:eastAsia="Google Sans" w:hAnsi="Google Sans"/>
            <w:color w:val="0000ee"/>
            <w:sz w:val="24"/>
            <w:szCs w:val="24"/>
            <w:u w:val="single"/>
            <w:rtl w:val="0"/>
          </w:rPr>
          <w:t xml:space="preserve">https://yukaichou.com/gamification-analysis/law-of-small-numbers-cognitive-bias/</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Card - Comparative AI, </w:t>
      </w:r>
      <w:hyperlink r:id="rId43">
        <w:r w:rsidDel="00000000" w:rsidR="00000000" w:rsidRPr="00000000">
          <w:rPr>
            <w:rFonts w:ascii="Google Sans" w:cs="Google Sans" w:eastAsia="Google Sans" w:hAnsi="Google Sans"/>
            <w:color w:val="0000ee"/>
            <w:sz w:val="24"/>
            <w:szCs w:val="24"/>
            <w:u w:val="single"/>
            <w:rtl w:val="0"/>
          </w:rPr>
          <w:t xml:space="preserve">https://comparativeai.org/companies/openai/model-card/</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IEC 25059 AI Quality Standard 2025 | Assess with Nemko, </w:t>
      </w:r>
      <w:hyperlink r:id="rId44">
        <w:r w:rsidDel="00000000" w:rsidR="00000000" w:rsidRPr="00000000">
          <w:rPr>
            <w:rFonts w:ascii="Google Sans" w:cs="Google Sans" w:eastAsia="Google Sans" w:hAnsi="Google Sans"/>
            <w:color w:val="0000ee"/>
            <w:sz w:val="24"/>
            <w:szCs w:val="24"/>
            <w:u w:val="single"/>
            <w:rtl w:val="0"/>
          </w:rPr>
          <w:t xml:space="preserve">https://digital.nemko.com/standards/iso-iec-25059</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Errors and difficulties in understanding elementary statistical concepts, </w:t>
      </w:r>
      <w:hyperlink r:id="rId45">
        <w:r w:rsidDel="00000000" w:rsidR="00000000" w:rsidRPr="00000000">
          <w:rPr>
            <w:rFonts w:ascii="Google Sans" w:cs="Google Sans" w:eastAsia="Google Sans" w:hAnsi="Google Sans"/>
            <w:color w:val="0000ee"/>
            <w:sz w:val="24"/>
            <w:szCs w:val="24"/>
            <w:u w:val="single"/>
            <w:rtl w:val="0"/>
          </w:rPr>
          <w:t xml:space="preserve">https://www.ugr.es/~batanero/pages/ARTICULOS/errors.PDF</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frequencies improve Bayesian reasoning in simple and, </w:t>
      </w:r>
      <w:hyperlink r:id="rId46">
        <w:r w:rsidDel="00000000" w:rsidR="00000000" w:rsidRPr="00000000">
          <w:rPr>
            <w:rFonts w:ascii="Google Sans" w:cs="Google Sans" w:eastAsia="Google Sans" w:hAnsi="Google Sans"/>
            <w:color w:val="0000ee"/>
            <w:sz w:val="24"/>
            <w:szCs w:val="24"/>
            <w:u w:val="single"/>
            <w:rtl w:val="0"/>
          </w:rPr>
          <w:t xml:space="preserve">https://pmc.ncbi.nlm.nih.gov/articles/PMC4604268/</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Traceable Human Judgment for AI-Native Professional Systems, </w:t>
      </w:r>
      <w:hyperlink r:id="rId47">
        <w:r w:rsidDel="00000000" w:rsidR="00000000" w:rsidRPr="00000000">
          <w:rPr>
            <w:rFonts w:ascii="Google Sans" w:cs="Google Sans" w:eastAsia="Google Sans" w:hAnsi="Google Sans"/>
            <w:color w:val="0000ee"/>
            <w:sz w:val="24"/>
            <w:szCs w:val="24"/>
            <w:u w:val="single"/>
            <w:rtl w:val="0"/>
          </w:rPr>
          <w:t xml:space="preserve">https://downloads.regulations.gov/FDA-2026-N-7874-0092/attachment_1.pdf</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Response to NIST Managing Misuse Risk for Dual-Use Foundation, </w:t>
      </w:r>
      <w:hyperlink r:id="rId48">
        <w:r w:rsidDel="00000000" w:rsidR="00000000" w:rsidRPr="00000000">
          <w:rPr>
            <w:rFonts w:ascii="Google Sans" w:cs="Google Sans" w:eastAsia="Google Sans" w:hAnsi="Google Sans"/>
            <w:color w:val="0000ee"/>
            <w:sz w:val="24"/>
            <w:szCs w:val="24"/>
            <w:u w:val="single"/>
            <w:rtl w:val="0"/>
          </w:rPr>
          <w:t xml:space="preserve">https://downloads.regulations.gov/NIST-2024-0002-0048/attachment_1.pdf</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of Indiana Policy: Artificial Intelligence - IN.gov, </w:t>
      </w:r>
      <w:hyperlink r:id="rId49">
        <w:r w:rsidDel="00000000" w:rsidR="00000000" w:rsidRPr="00000000">
          <w:rPr>
            <w:rFonts w:ascii="Google Sans" w:cs="Google Sans" w:eastAsia="Google Sans" w:hAnsi="Google Sans"/>
            <w:color w:val="0000ee"/>
            <w:sz w:val="24"/>
            <w:szCs w:val="24"/>
            <w:u w:val="single"/>
            <w:rtl w:val="0"/>
          </w:rPr>
          <w:t xml:space="preserve">https://www.in.gov/dA/878cfc28c3/State-of-Indiana-Artificial-Intelligence-Policy.pdf?language_id=1</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StructText: A Synthetic Table-to-Text Approach for Benchmark, </w:t>
      </w:r>
      <w:hyperlink r:id="rId50">
        <w:r w:rsidDel="00000000" w:rsidR="00000000" w:rsidRPr="00000000">
          <w:rPr>
            <w:rFonts w:ascii="Google Sans" w:cs="Google Sans" w:eastAsia="Google Sans" w:hAnsi="Google Sans"/>
            <w:color w:val="0000ee"/>
            <w:sz w:val="24"/>
            <w:szCs w:val="24"/>
            <w:u w:val="single"/>
            <w:rtl w:val="0"/>
          </w:rPr>
          <w:t xml:space="preserve">https://arxiv.org/html/2507.21340v1</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LLM Inference Generation through Executable Verification, </w:t>
      </w:r>
      <w:hyperlink r:id="rId51">
        <w:r w:rsidDel="00000000" w:rsidR="00000000" w:rsidRPr="00000000">
          <w:rPr>
            <w:rFonts w:ascii="Google Sans" w:cs="Google Sans" w:eastAsia="Google Sans" w:hAnsi="Google Sans"/>
            <w:color w:val="0000ee"/>
            <w:sz w:val="24"/>
            <w:szCs w:val="24"/>
            <w:u w:val="single"/>
            <w:rtl w:val="0"/>
          </w:rPr>
          <w:t xml:space="preserve">https://arxiv.org/html/2609.23966v1</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Benchmark for Evaluating Table Reasoning, </w:t>
      </w:r>
      <w:hyperlink r:id="rId52">
        <w:r w:rsidDel="00000000" w:rsidR="00000000" w:rsidRPr="00000000">
          <w:rPr>
            <w:rFonts w:ascii="Google Sans" w:cs="Google Sans" w:eastAsia="Google Sans" w:hAnsi="Google Sans"/>
            <w:color w:val="0000ee"/>
            <w:sz w:val="24"/>
            <w:szCs w:val="24"/>
            <w:u w:val="single"/>
            <w:rtl w:val="0"/>
          </w:rPr>
          <w:t xml:space="preserve">https://arxiv.org/html/2506.18421</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Compaction | Pydantic Docs, </w:t>
      </w:r>
      <w:hyperlink r:id="rId53">
        <w:r w:rsidDel="00000000" w:rsidR="00000000" w:rsidRPr="00000000">
          <w:rPr>
            <w:rFonts w:ascii="Google Sans" w:cs="Google Sans" w:eastAsia="Google Sans" w:hAnsi="Google Sans"/>
            <w:color w:val="0000ee"/>
            <w:sz w:val="24"/>
            <w:szCs w:val="24"/>
            <w:u w:val="single"/>
            <w:rtl w:val="0"/>
          </w:rPr>
          <w:t xml:space="preserve">https://pydantic.dev/docs/ai/harness/compaction/</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Guide to Guardrails in GenAI - Medium, </w:t>
      </w:r>
      <w:hyperlink r:id="rId54">
        <w:r w:rsidDel="00000000" w:rsidR="00000000" w:rsidRPr="00000000">
          <w:rPr>
            <w:rFonts w:ascii="Google Sans" w:cs="Google Sans" w:eastAsia="Google Sans" w:hAnsi="Google Sans"/>
            <w:color w:val="0000ee"/>
            <w:sz w:val="24"/>
            <w:szCs w:val="24"/>
            <w:u w:val="single"/>
            <w:rtl w:val="0"/>
          </w:rPr>
          <w:t xml:space="preserve">https://medium.com/@ajayverma23/the-ultimate-guide-to-guardrails-in-genai-securing-and-standardizing-llm-applications-1502c90fdc72</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AI - Portkey Docs, </w:t>
      </w:r>
      <w:hyperlink r:id="rId55">
        <w:r w:rsidDel="00000000" w:rsidR="00000000" w:rsidRPr="00000000">
          <w:rPr>
            <w:rFonts w:ascii="Google Sans" w:cs="Google Sans" w:eastAsia="Google Sans" w:hAnsi="Google Sans"/>
            <w:color w:val="0000ee"/>
            <w:sz w:val="24"/>
            <w:szCs w:val="24"/>
            <w:u w:val="single"/>
            <w:rtl w:val="0"/>
          </w:rPr>
          <w:t xml:space="preserve">https://docs.portkey.ai/docs/aigw/integrations/agents/pydantic-ai</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Automation Engineer Submission Data and Content Generation, </w:t>
      </w:r>
      <w:hyperlink r:id="rId56">
        <w:r w:rsidDel="00000000" w:rsidR="00000000" w:rsidRPr="00000000">
          <w:rPr>
            <w:rFonts w:ascii="Google Sans" w:cs="Google Sans" w:eastAsia="Google Sans" w:hAnsi="Google Sans"/>
            <w:color w:val="0000ee"/>
            <w:sz w:val="24"/>
            <w:szCs w:val="24"/>
            <w:u w:val="single"/>
            <w:rtl w:val="0"/>
          </w:rPr>
          <w:t xml:space="preserve">https://careers.roche.com/global/en/job/ROCHGLOBAL202607119668EXTERNALENGLOBAL/Automation-Engineer-Submission-Data-and-Content-Generation-Reuse-AIDCG-Pharma-R-D</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Guardrails in Python: Input &amp; Output Validation - InfoWok, </w:t>
      </w:r>
      <w:hyperlink r:id="rId57">
        <w:r w:rsidDel="00000000" w:rsidR="00000000" w:rsidRPr="00000000">
          <w:rPr>
            <w:rFonts w:ascii="Google Sans" w:cs="Google Sans" w:eastAsia="Google Sans" w:hAnsi="Google Sans"/>
            <w:color w:val="0000ee"/>
            <w:sz w:val="24"/>
            <w:szCs w:val="24"/>
            <w:u w:val="single"/>
            <w:rtl w:val="0"/>
          </w:rPr>
          <w:t xml:space="preserve">https://www.infowok.com/ai-agent-guardrails-python/</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Integration Services — luz.uy | Wire AI Into Your Stack, </w:t>
      </w:r>
      <w:hyperlink r:id="rId58">
        <w:r w:rsidDel="00000000" w:rsidR="00000000" w:rsidRPr="00000000">
          <w:rPr>
            <w:rFonts w:ascii="Google Sans" w:cs="Google Sans" w:eastAsia="Google Sans" w:hAnsi="Google Sans"/>
            <w:color w:val="0000ee"/>
            <w:sz w:val="24"/>
            <w:szCs w:val="24"/>
            <w:u w:val="single"/>
            <w:rtl w:val="0"/>
          </w:rPr>
          <w:t xml:space="preserve">https://luz.uy/services/llm-integration/</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Cognitive Biases in LLMs - arXiv, </w:t>
      </w:r>
      <w:hyperlink r:id="rId59">
        <w:r w:rsidDel="00000000" w:rsidR="00000000" w:rsidRPr="00000000">
          <w:rPr>
            <w:rFonts w:ascii="Google Sans" w:cs="Google Sans" w:eastAsia="Google Sans" w:hAnsi="Google Sans"/>
            <w:color w:val="0000ee"/>
            <w:sz w:val="24"/>
            <w:szCs w:val="24"/>
            <w:u w:val="single"/>
            <w:rtl w:val="0"/>
          </w:rPr>
          <w:t xml:space="preserve">https://arxiv.org/pdf/2608.05166</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open-source "Reliability Layer" for AI Agents using ... - Reddit, </w:t>
      </w:r>
      <w:hyperlink r:id="rId60">
        <w:r w:rsidDel="00000000" w:rsidR="00000000" w:rsidRPr="00000000">
          <w:rPr>
            <w:rFonts w:ascii="Google Sans" w:cs="Google Sans" w:eastAsia="Google Sans" w:hAnsi="Google Sans"/>
            <w:color w:val="0000ee"/>
            <w:sz w:val="24"/>
            <w:szCs w:val="24"/>
            <w:u w:val="single"/>
            <w:rtl w:val="0"/>
          </w:rPr>
          <w:t xml:space="preserve">https://www.reddit.com/r/Python/comments/1pcbkqw/i_built_an_opensource_reliability_layer_for_ai/</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ribd.com/document/410649977/Kahneman-Tversky-Belief-in-the-law-of-small-numbers-pdf" TargetMode="External"/><Relationship Id="rId42" Type="http://schemas.openxmlformats.org/officeDocument/2006/relationships/hyperlink" Target="https://yukaichou.com/gamification-analysis/law-of-small-numbers-cognitive-bias/" TargetMode="External"/><Relationship Id="rId41" Type="http://schemas.openxmlformats.org/officeDocument/2006/relationships/hyperlink" Target="https://ira.lib.polyu.edu.hk/bitstream/10397/97232/1/Zhan_Relative_Insensitivity_Sample.pdf" TargetMode="External"/><Relationship Id="rId44" Type="http://schemas.openxmlformats.org/officeDocument/2006/relationships/hyperlink" Target="https://digital.nemko.com/standards/iso-iec-25059" TargetMode="External"/><Relationship Id="rId43" Type="http://schemas.openxmlformats.org/officeDocument/2006/relationships/hyperlink" Target="https://comparativeai.org/companies/openai/model-card/" TargetMode="External"/><Relationship Id="rId46" Type="http://schemas.openxmlformats.org/officeDocument/2006/relationships/hyperlink" Target="https://pmc.ncbi.nlm.nih.gov/articles/PMC4604268/" TargetMode="External"/><Relationship Id="rId45" Type="http://schemas.openxmlformats.org/officeDocument/2006/relationships/hyperlink" Target="https://www.ugr.es/~batanero/pages/ARTICULOS/error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ngcmd.marines.mil/portals/207/docs/wtbn/mccmos/mstp%20pamphlet%20command%20and%20staff_actions.pdf" TargetMode="External"/><Relationship Id="rId48" Type="http://schemas.openxmlformats.org/officeDocument/2006/relationships/hyperlink" Target="https://downloads.regulations.gov/NIST-2024-0002-0048/attachment_1.pdf" TargetMode="External"/><Relationship Id="rId47" Type="http://schemas.openxmlformats.org/officeDocument/2006/relationships/hyperlink" Target="https://downloads.regulations.gov/FDA-2026-N-7874-0092/attachment_1.pdf" TargetMode="External"/><Relationship Id="rId49" Type="http://schemas.openxmlformats.org/officeDocument/2006/relationships/hyperlink" Target="https://www.in.gov/dA/878cfc28c3/State-of-Indiana-Artificial-Intelligence-Policy.pdf?language_id=1" TargetMode="External"/><Relationship Id="rId5" Type="http://schemas.openxmlformats.org/officeDocument/2006/relationships/styles" Target="styles.xml"/><Relationship Id="rId6" Type="http://schemas.openxmlformats.org/officeDocument/2006/relationships/hyperlink" Target="https://www.youtube.com/watch?v=Jtx01xQNw5A" TargetMode="External"/><Relationship Id="rId7" Type="http://schemas.openxmlformats.org/officeDocument/2006/relationships/hyperlink" Target="https://www.alphaxiv.org/abs/1810.03993" TargetMode="External"/><Relationship Id="rId8" Type="http://schemas.openxmlformats.org/officeDocument/2006/relationships/hyperlink" Target="https://www.scribd.com/document/648027706/FM-6-0-May-2022" TargetMode="External"/><Relationship Id="rId31" Type="http://schemas.openxmlformats.org/officeDocument/2006/relationships/hyperlink" Target="https://www.repository.cam.ac.uk/bitstreams/aacbefa1-b318-456a-88a7-b99ee443dfb8/download" TargetMode="External"/><Relationship Id="rId30" Type="http://schemas.openxmlformats.org/officeDocument/2006/relationships/hyperlink" Target="https://www.pnas.org/doi/pdf/10.1073/pnas.1913678117" TargetMode="External"/><Relationship Id="rId33" Type="http://schemas.openxmlformats.org/officeDocument/2006/relationships/hyperlink" Target="https://nvlpubs.nist.gov/nistpubs/ai/NIST.AI.100-1.pdf" TargetMode="External"/><Relationship Id="rId32" Type="http://schemas.openxmlformats.org/officeDocument/2006/relationships/hyperlink" Target="https://ai-challenges.nist.gov/aria/docs/ARIA_Program_Companion_Document_Dec20.pdf" TargetMode="External"/><Relationship Id="rId35" Type="http://schemas.openxmlformats.org/officeDocument/2006/relationships/hyperlink" Target="https://airc.nist.gov/docs/NIST.AI.600-1.GenAI-Profile.ipd.pdf" TargetMode="External"/><Relationship Id="rId34" Type="http://schemas.openxmlformats.org/officeDocument/2006/relationships/hyperlink" Target="https://www.nist.gov/publications/artificial-intelligence-risk-management-framework-generative-artificial-intelligence" TargetMode="External"/><Relationship Id="rId37" Type="http://schemas.openxmlformats.org/officeDocument/2006/relationships/hyperlink" Target="https://arxiv.org/html/2505.13995v1" TargetMode="External"/><Relationship Id="rId36" Type="http://schemas.openxmlformats.org/officeDocument/2006/relationships/hyperlink" Target="https://arxiv.org/html/2607.28133v1" TargetMode="External"/><Relationship Id="rId39" Type="http://schemas.openxmlformats.org/officeDocument/2006/relationships/hyperlink" Target="https://psychology.iresearchnet.com/social-psychology/decision-making/law-of-small-numbers/" TargetMode="External"/><Relationship Id="rId38" Type="http://schemas.openxmlformats.org/officeDocument/2006/relationships/hyperlink" Target="https://arxiv.org/pdf/2507.07484" TargetMode="External"/><Relationship Id="rId20" Type="http://schemas.openxmlformats.org/officeDocument/2006/relationships/hyperlink" Target="https://futureagi.com/blog/what-is-auc-roc-llm-evals-2026/" TargetMode="External"/><Relationship Id="rId22" Type="http://schemas.openxmlformats.org/officeDocument/2006/relationships/hyperlink" Target="https://www.researchgate.net/publication/404856484_The_Bridge_Between_Artificial_Intelligence_and_Predictive_Maintenance_in_Industry_40_A_Systematic_Review" TargetMode="External"/><Relationship Id="rId21" Type="http://schemas.openxmlformats.org/officeDocument/2006/relationships/hyperlink" Target="https://www.mdpi.com/2571-5577/9/4/83" TargetMode="External"/><Relationship Id="rId24" Type="http://schemas.openxmlformats.org/officeDocument/2006/relationships/hyperlink" Target="https://www.thoracrespract.org/pdf/68ab204c-182b-49da-b227-bc7efe058632/issues/2026-027-005.pdf?v=1788776905201" TargetMode="External"/><Relationship Id="rId23" Type="http://schemas.openxmlformats.org/officeDocument/2006/relationships/hyperlink" Target="https://www.researchgate.net/figure/The-Epistemic-Authority-Trust-Responsibility-ETR-Architecture-The-framework-integrates_fig1_404000265" TargetMode="External"/><Relationship Id="rId60" Type="http://schemas.openxmlformats.org/officeDocument/2006/relationships/hyperlink" Target="https://www.reddit.com/r/Python/comments/1pcbkqw/i_built_an_opensource_reliability_layer_for_ai/" TargetMode="External"/><Relationship Id="rId26" Type="http://schemas.openxmlformats.org/officeDocument/2006/relationships/hyperlink" Target="https://www.scribd.com/document/800797485/Parasuraman-Manzey-2010-Complacency-and-Bias-in-Human-Use-of-Automation-An-Attentional-Integration" TargetMode="External"/><Relationship Id="rId25" Type="http://schemas.openxmlformats.org/officeDocument/2006/relationships/hyperlink" Target="https://en.wikipedia.org/wiki/Automation_bias" TargetMode="External"/><Relationship Id="rId28" Type="http://schemas.openxmlformats.org/officeDocument/2006/relationships/hyperlink" Target="https://www.researchgate.net/publication/47792928_Complacency_and_Bias_in_Human_Use_of_Automation_An_Attentional_Integration" TargetMode="External"/><Relationship Id="rId27" Type="http://schemas.openxmlformats.org/officeDocument/2006/relationships/hyperlink" Target="https://repository.essex.ac.uk/35906/1/mqad034.pdf" TargetMode="External"/><Relationship Id="rId29" Type="http://schemas.openxmlformats.org/officeDocument/2006/relationships/hyperlink" Target="https://www.repository.cam.ac.uk/bitstreams/c019ed9f-ef97-4920-8b7d-013e3babb0fc/download" TargetMode="External"/><Relationship Id="rId51" Type="http://schemas.openxmlformats.org/officeDocument/2006/relationships/hyperlink" Target="https://arxiv.org/html/2609.23966v1" TargetMode="External"/><Relationship Id="rId50" Type="http://schemas.openxmlformats.org/officeDocument/2006/relationships/hyperlink" Target="https://arxiv.org/html/2507.21340v1" TargetMode="External"/><Relationship Id="rId53" Type="http://schemas.openxmlformats.org/officeDocument/2006/relationships/hyperlink" Target="https://pydantic.dev/docs/ai/harness/compaction/" TargetMode="External"/><Relationship Id="rId52" Type="http://schemas.openxmlformats.org/officeDocument/2006/relationships/hyperlink" Target="https://arxiv.org/html/2506.18421" TargetMode="External"/><Relationship Id="rId11" Type="http://schemas.openxmlformats.org/officeDocument/2006/relationships/hyperlink" Target="https://casrai.org/guides/model-cards-and-system-cards" TargetMode="External"/><Relationship Id="rId55" Type="http://schemas.openxmlformats.org/officeDocument/2006/relationships/hyperlink" Target="https://docs.portkey.ai/docs/aigw/integrations/agents/pydantic-ai" TargetMode="External"/><Relationship Id="rId10" Type="http://schemas.openxmlformats.org/officeDocument/2006/relationships/hyperlink" Target="https://slideworks.io/resources/the-pyramid-principle-mckinsey-toolbox-with-examples" TargetMode="External"/><Relationship Id="rId54" Type="http://schemas.openxmlformats.org/officeDocument/2006/relationships/hyperlink" Target="https://medium.com/@ajayverma23/the-ultimate-guide-to-guardrails-in-genai-securing-and-standardizing-llm-applications-1502c90fdc72" TargetMode="External"/><Relationship Id="rId13" Type="http://schemas.openxmlformats.org/officeDocument/2006/relationships/hyperlink" Target="https://www.ovid.com/journals/bmjd/fulltext/10.1136/bmj.d6386~what-are-natural-frequencies" TargetMode="External"/><Relationship Id="rId57" Type="http://schemas.openxmlformats.org/officeDocument/2006/relationships/hyperlink" Target="https://www.infowok.com/ai-agent-guardrails-python/" TargetMode="External"/><Relationship Id="rId12" Type="http://schemas.openxmlformats.org/officeDocument/2006/relationships/hyperlink" Target="https://pure.mpg.de/rest/items/item_2101953_6/component/file_2101952/content" TargetMode="External"/><Relationship Id="rId56" Type="http://schemas.openxmlformats.org/officeDocument/2006/relationships/hyperlink" Target="https://careers.roche.com/global/en/job/ROCHGLOBAL202607119668EXTERNALENGLOBAL/Automation-Engineer-Submission-Data-and-Content-Generation-Reuse-AIDCG-Pharma-R-D" TargetMode="External"/><Relationship Id="rId15" Type="http://schemas.openxmlformats.org/officeDocument/2006/relationships/hyperlink" Target="https://www.iplfederation.org/iso-standard/" TargetMode="External"/><Relationship Id="rId59" Type="http://schemas.openxmlformats.org/officeDocument/2006/relationships/hyperlink" Target="https://arxiv.org/pdf/2608.05166" TargetMode="External"/><Relationship Id="rId14" Type="http://schemas.openxmlformats.org/officeDocument/2006/relationships/hyperlink" Target="https://pure.mpg.de/rest/items/item_2099208_9/component/file_3562683/content" TargetMode="External"/><Relationship Id="rId58" Type="http://schemas.openxmlformats.org/officeDocument/2006/relationships/hyperlink" Target="https://luz.uy/services/llm-integration/" TargetMode="External"/><Relationship Id="rId17" Type="http://schemas.openxmlformats.org/officeDocument/2006/relationships/hyperlink" Target="https://itlawco.com/iso-24495-12023-plain-language-standard/" TargetMode="External"/><Relationship Id="rId16" Type="http://schemas.openxmlformats.org/officeDocument/2006/relationships/hyperlink" Target="https://www.mt-g.com/en/news/blog/iso-24495-1" TargetMode="External"/><Relationship Id="rId19" Type="http://schemas.openxmlformats.org/officeDocument/2006/relationships/hyperlink" Target="https://www.mdpi.com/2076-3417/16/10/4882" TargetMode="External"/><Relationship Id="rId18" Type="http://schemas.openxmlformats.org/officeDocument/2006/relationships/hyperlink" Target="https://hansem.com/blog/plain-language-iso-24495-1-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