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CATÁLOGO DE SERVICIOS TI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Sistema de gestión de parqueaderos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Fundación Universitaria San Mateo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Facultad de Ingeniería de Sistemas y Afines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Proyecto Integrador · Semestre VIII · Grupo 01N31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Jisel Alexandra Beltrán Guzmán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Juan David Méndez Mejía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Luis Esteban Vargas Pelayo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Keiner Sebastián Penagos Villalobos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jc w:val="center"/>
        <w:rPr>
          <w:b w:val="1"/>
          <w:bCs w:val="1"/>
          <w:color w:val="e6913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008" w:top="1008" w:left="1008" w:right="1008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Bogotá D. C. · 2026-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7885760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Objetivos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2.1 Objetivo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Objetivos específicos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Definiciones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Lineamientos de gestión de servicios TI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Catálogo de servicios TI Parkgo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Flujo de atención de incidentes y solicitudes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Niveles de soporte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Acuerdos de nivel de servicio (ANS/SLA)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Canales y horarios de atención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Métricas e indicadores KPI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Seguridad, continuidad y mejora continua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Roles y responsabilidades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Control de cambios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Parkgo es una propuesta de sistema de información web y móvil orientada a optimizar la administración, asignación y control operativo de los espacios de estacionamiento en copropiedades empresariales, residenciales y corporativas. La solución busca reducir la dependencia de registros manuales, mejorar el control de acceso y facilitar la trazabilidad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Este catálogo organiza los servicios tecnológicos contemplados en el proyecto y describe su propósito, usuarios, responsables y niveles de atención. Se toma como referencia la estructura del catálogo de ejemplo suministrado y se adapta al alcance documentado de Parkgo, bajo prácticas de gestión de servicios inspiradas en ITIL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Los tiempos y metas propuestos en este documento deben ser aprobados por el equipo responsable antes de considerarse compromisos operativos definitivos.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36">
      <w:pPr>
        <w:pStyle w:val="Heading1"/>
        <w:ind w:left="720" w:firstLine="0"/>
        <w:rPr/>
      </w:pPr>
      <w:r w:rsidDel="00000000" w:rsidR="00000000" w:rsidRPr="00000000">
        <w:rPr>
          <w:color w:val="e69138"/>
          <w:sz w:val="34"/>
          <w:szCs w:val="34"/>
          <w:rtl w:val="0"/>
        </w:rPr>
        <w:t xml:space="preserve">2.1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Definir y organizar los servicios de TI de Parkgo para facilitar su comprensión, operación, soporte, seguimiento y mejora continua, alineando la atención tecnológica con las necesidades de administradores, personal de seguridad y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720" w:firstLine="0"/>
        <w:rPr/>
      </w:pPr>
      <w:r w:rsidDel="00000000" w:rsidR="00000000" w:rsidRPr="00000000">
        <w:rPr>
          <w:color w:val="e69138"/>
          <w:sz w:val="34"/>
          <w:szCs w:val="3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Identificar los servicios digitales y técnicos contemplados en el alcance del proyecto Parkgo.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Establecer categorías, usuarios responsables y una descripción clara de cada servicio.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Proponer niveles de atención para incidentes y solicitudes, priorizando los que afecten el acceso vehicular.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Definir indicadores que permitan revisar la disponibilidad, oportunidad de atención y satisfacción de los usuarios.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Promover prácticas de seguridad, trazabilidad y mejora continua en la gestión de los servicios.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ind w:left="720" w:hanging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El catálogo comprende los servicios relacionados con la gestión de cupos fijos y de visitantes, generación y validación de códigos QR o alfanuméricos, registro de entrada y salida (check-in/check-out), seguimiento de permanencia, cancelaciones, aplicación de sanciones por infracciones, administración mediante panel web y autenticación por roles. También contempla la atención de incidentes asociados al uso y funcionamiento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La existencia y disponibilidad de cada función depende del estado real del prototipo. Los módulos móviles, las integraciones y las funciones no demostradas deberán verificarse con el equipo antes de publicarse como servicios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color w:val="e69138"/>
        </w:rPr>
        <w:sectPr>
          <w:type w:val="nextPage"/>
          <w:pgSz w:h="15840" w:w="12240" w:orient="portrait"/>
          <w:pgMar w:bottom="1008" w:top="1008" w:left="1008" w:right="10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ind w:left="720" w:hanging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Definiciones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Definición aplicada a Parkgo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Catálogo de servicios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Documento que organiza y describe los servicios tecnológicos que Parkgo ofrece o proyecta ofrecer.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Interrupción, degradación o comportamiento inesperado de una función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Solicitud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Petición de ayuda, información, acceso o asistencia relacionada con Parkgo.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ANS/SLA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Acuerdo de nivel de servicio que define metas de atención, disponibilidad y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Indicador clave utilizado para evaluar el desempeño y orientar mejoras.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Check-in /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Registro de entrada y salida de un vehículo en el parqueadero.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Mecanismo de token utilizado, según el diseño del proyecto, para apoyar la autenticación y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Interfaz que permite la comunicación entre componentes de software mediante solicitudes HTTP.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3"/>
        </w:numPr>
        <w:ind w:left="720" w:hanging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Lineamientos de gestión de servicios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Mantener el catálogo actualizado cuando se agreguen, retiren o modifiquen funciones de Parkgo.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Asignar permisos según el rol del usuario y aplicar el principio de mínimo privilegio.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Registrar y clasificar los incidentes con fecha, descripción, impacto, prioridad y estado.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Priorizar la atención de fallas que impidan registrar entradas o salidas en portería.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Proteger las credenciales y los datos operativos; no compartir contraseñas ni tokens.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Documentar cambios técnicos y probarlos antes de incorporarlos al entorno de uso.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Revisar periódicamente los indicadores y utilizar sus resultados para proponer mejoras.</w:t>
      </w:r>
    </w:p>
    <w:p w:rsidR="00000000" w:rsidDel="00000000" w:rsidP="00000000" w:rsidRDefault="00000000" w:rsidRPr="00000000" w14:paraId="00000060">
      <w:pPr>
        <w:pStyle w:val="Heading1"/>
        <w:rPr>
          <w:color w:val="e69138"/>
        </w:rPr>
        <w:sectPr>
          <w:type w:val="nextPage"/>
          <w:pgSz w:h="15840" w:w="12240" w:orient="portrait"/>
          <w:pgMar w:bottom="1008" w:top="1008" w:left="1008" w:right="10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3"/>
        </w:numPr>
        <w:ind w:left="720" w:hanging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Catálogo de servicios TI Parkgo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La siguiente tabla resume los servicios identificados en el tercer entregable y en el catálogo actual de Parkgo. Las metas de servicio se presentan como objetivos de referencia y deben validarse con el equipo.</w:t>
      </w:r>
      <w:r w:rsidDel="00000000" w:rsidR="00000000" w:rsidRPr="00000000">
        <w:rPr>
          <w:rtl w:val="0"/>
        </w:rPr>
      </w:r>
    </w:p>
    <w:tbl>
      <w:tblPr>
        <w:tblStyle w:val="Table2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0"/>
          <w:trHeight w:val="351.97265625" w:hRule="atLeast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Meta/ANS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Control de acceso vehicular (check-in/check-out)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Validación y registro de entrada y salida de vehículos mediante códigos QR o claves alfanuméricas desde la interfaz de portería.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Personal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propuesta: procesamiento menor a 2 segundos por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Operación de portería; horario definitivo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Gestión y asignación de cupos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Gestión de cupos fijos y de visitantes, asignación temporal y autorización previa de accesos.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Administradores y usuarios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propuesta: respuesta de operación menor a 3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Según operación de la copropiedad.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Monitoreo de permanencia y sanciones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Operativo /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Seguimiento del tiempo de permanencia de vehículos y apoyo al cálculo de penalizaciones por uso indebido, conforme al reglamento interno.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Administradores y personal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propuesta: cálculo y generación de registro en menos de 5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Según operación de la copropiedad.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Administración y reportería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Panel web para consultar métricas de ocupación, historial de ingresos y salidas, sanciones y trazabilidad de operaciones.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propuesta: carga de tablero menor a 3 segundos; actualización según capacidad del prototipo.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Horario operativo por acordar.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Autenticación y control de acceso por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Seguridad /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Gestión de credenciales y control de permisos según los perfiles definidos para la plataforma; el diseño contempla el uso de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Todos los perfiles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propuesta: disponibilidad mensual de referencia del 99,5%; validar en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Acceso sujeto a disponibilidad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STI-PARK-06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Mesa de ayuda y 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Soporte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Recepción, clasificación, seguimiento y escalamiento de incidentes o solicitudes relacionados con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Usuarios, guardias y 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Según prioridad definida en la sección 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Canales oficiales por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>
          <w:color w:val="e69138"/>
        </w:rPr>
        <w:sectPr>
          <w:type w:val="nextPage"/>
          <w:pgSz w:h="15840" w:w="12240" w:orient="portrait"/>
          <w:pgMar w:bottom="1008" w:top="1008" w:left="1008" w:right="10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3"/>
        </w:numPr>
        <w:ind w:left="720" w:hanging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Flujo de atención de incidentes y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El usuario identifica una falla o necesita asistencia con Parkgo.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Reporta el caso por el canal de soporte definido, indicando qué ocurrió, cuándo y en qué módulo.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La mesa de ayuda registra el caso y asigna una prioridad según el impacto.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El responsable de primer nivel revisa la información y aplica soluciones básicas documentadas.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Si el caso requiere conocimientos especializados, se escala al segundo o tercer nivel.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Se informa al usuario sobre la solución o el estado del caso y se verifica el funcionamiento.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Se documenta la causa, la solución y el cierre para alimentar la mejora continua.</w:t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2"/>
        </w:numPr>
        <w:spacing w:before="60" w:beforeAutospacing="0"/>
        <w:ind w:left="360"/>
        <w:rPr>
          <w:u w:val="none"/>
        </w:rPr>
      </w:pPr>
      <w:r w:rsidDel="00000000" w:rsidR="00000000" w:rsidRPr="00000000">
        <w:rPr>
          <w:color w:val="e69138"/>
          <w:rtl w:val="0"/>
        </w:rPr>
        <w:t xml:space="preserve">Niveles de soporte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Nivel 1 –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Responsable de mesa de ayuda o persona designada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Registra y clasifica casos; brinda orientación de uso, verifica datos del reporte y resuelve incidentes básicos.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Nivel 2 – especializado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Equipo técnico de Parkgo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Analiza errores de configuración, permisos, lógica de aplicación, integraciones y problemas que requieren diagnóstico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Nivel 3 – externo o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Desarrollador especializado o proveedor,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Atiende problemas de código, infraestructura o servicios externos que no puedan resolverse en los niveles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2"/>
        </w:numPr>
        <w:ind w:left="360"/>
        <w:rPr>
          <w:u w:val="none"/>
        </w:rPr>
      </w:pPr>
      <w:r w:rsidDel="00000000" w:rsidR="00000000" w:rsidRPr="00000000">
        <w:rPr>
          <w:color w:val="e69138"/>
          <w:rtl w:val="0"/>
        </w:rPr>
        <w:t xml:space="preserve">Acuerdos de nivel de servicio (ANS/SLA)</w:t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Los tiempos siguientes son una propuesta académica inspirada en los objetivos incluidos en el catálogo actual de Parkgo. No deben presentarse como acuerdos contractuales hasta que el equipo los apruebe y confirme que dispone de recursos para cumplirlos.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Tiempo de respuesta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Tiempo objetivo de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P1 –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portería no puede validar accesos o el sistema presenta una interrupción que compromete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P2 –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Falla importante en cálculo de permanencia, sanciones o generación de reportes, con operación parcialmente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P3 – Media/Baja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Consultas de uso, solicitudes generales o fallas menores que no bloquean la operación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8 horas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Hasta 24 horas hábiles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Disponibilidad de referencia: el catálogo actual de Parkgo plantea una meta global del 99,5 % mensual. Debe verificarse mediante monitoreo cuando exista un entorno de operación estable. Las ventanas de mantenimiento deben comunicarse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lineRule="auto"/>
        <w:rPr>
          <w:color w:val="e69138"/>
        </w:rPr>
      </w:pPr>
      <w:r w:rsidDel="00000000" w:rsidR="00000000" w:rsidRPr="00000000">
        <w:rPr>
          <w:i w:val="0"/>
          <w:iCs w:val="0"/>
          <w:rtl w:val="0"/>
        </w:rPr>
        <w:t xml:space="preserve">Los tiempos de atención se contabilizan desde el registro del caso y dependen de la disponibilidad de información, conectividad, acceso técnico y alcance del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2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e69138"/>
          <w:rtl w:val="0"/>
        </w:rPr>
        <w:t xml:space="preserve">Canales y horarios de atención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Los canales y datos de contacto definitivos no aparecen confirmados en la documentación del proyecto. Antes de publicar el catálogo, el equipo debe completar y aprobar los datos de contacto.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Dato 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Correo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Solicitudes no urgentes, evidencias y seguimiento de casos.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Correo institucional definido por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Formulario o portal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Registro y consulta del estado de incidentes.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URL real, si se implementa.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Contacto de emergencia de 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Fallas críticas que impidan el control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Número o extensión oficial, si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Horario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Definir horarios de soporte ordinario y mecanismo para incidentes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Horario aprobado por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2"/>
        </w:numPr>
        <w:ind w:left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Métricas e indicadores KPI</w:t>
      </w:r>
    </w:p>
    <w:tbl>
      <w:tblPr>
        <w:tblStyle w:val="Table6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Fórmula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Meta inicial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Cumplimiento de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(Casos atendidos dentro del ANS / total de casos cerrados)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≥ 90 % durante piloto; revisar tras obtener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Satisfacción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Promedio de encuesta en escala de 1 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≥ 4,0 / 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Por caso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Tiempo promedio de 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Suma de tiempos de resolución / casos cerrados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Según prioridad y datos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Tasa de reapertura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(Casos reabiertos / casos cerrados)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≤ 10 % como meta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Disponibilidad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(Tiempo disponible / tiempo total medido)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Meta de referencia: 99,5 %, sujeta a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KPI-06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Éxito del registro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(Registros completados correctamente / intentos de registro)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Definir después de pruebas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Semanal o mensual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numPr>
          <w:ilvl w:val="0"/>
          <w:numId w:val="2"/>
        </w:numPr>
        <w:ind w:left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 Seguridad, continuidad y mejora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Autenticación: utilizar credenciales individuales y, según la implementación, mecanismos de autenticación definidos en la arquitectura.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Autorización: limitar las acciones disponibles según el rol asignado y retirar permisos cuando dejen de ser necesarios.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Protección de datos: consultar únicamente la información necesaria para cumplir las funciones autorizadas.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Trazabilidad: conservar registros de operaciones relevantes, como accesos, cambios administrativos e incidentes, cuando la implementación lo permita.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Continuidad: documentar procedimientos manuales temporales para la portería si la plataforma no está disponible, conforme a las reglas de la copropiedad.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Mejora continua: analizar incidentes repetidos, comentarios de usuarios y resultados de los KPI para priorizar ajustes.</w:t>
      </w:r>
    </w:p>
    <w:p w:rsidR="00000000" w:rsidDel="00000000" w:rsidP="00000000" w:rsidRDefault="00000000" w:rsidRPr="00000000" w14:paraId="000000FE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Estas medidas son lineamientos propuestos. Su aplicación concreta depende de las funcionalidades, la infraestructura y los controles implementados en Parkgo.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2"/>
        </w:numPr>
        <w:ind w:left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 Roles y responsabilidades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Propietario del servicio / líder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Mantener el catálogo alineado con el alcance y revisar las metas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 de la copropiedad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Gestionar la operación administrativa permitida, revisar reportes y aplicar el reglamento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Personal de seguridad / 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Validar accesos, registrar entradas y salidas y reportar anomalías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Usuario autorizado / trabajador o 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Utilizar los mecanismos de acceso que le correspondan y suministrar información 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Registrar, clasificar, diagnosticar, escalar y documentar incidentes y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Mantener los componentes de software, corregir errores y documentar cambios técnicos.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2"/>
        </w:numPr>
        <w:ind w:left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 Control de cambios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Organización y adaptación inicial del catálogo de servicios TI al proyecto Parkgo, tomando como referencia el ejemplo suministrado.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Equipo del Proyecto Integrador Parkgo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Todo cambio posterior debe registrar la versión, fecha, descripción del ajuste, persona responsable y aprobación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2"/>
        </w:numPr>
        <w:ind w:left="360"/>
        <w:rPr>
          <w:color w:val="e69138"/>
          <w:u w:val="none"/>
        </w:rPr>
      </w:pPr>
      <w:r w:rsidDel="00000000" w:rsidR="00000000" w:rsidRPr="00000000">
        <w:rPr>
          <w:color w:val="e6913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Equipo del Proyecto Integrador Parkgo. (2026-2). Tercer entregable del Proyecto Integrador: Parkgo. Fundación Universitaria San Mateo.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Equipo de Infovictimas. (2026). Catálogo de Servicios TI Infovictimas. Documento de referencia suministrado para orientar la estructura del catálogo.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AXELOS. (2019). ITIL Foundation: ITIL 4 Edition. TSO (The Stationery Office).</w:t>
      </w:r>
    </w:p>
    <w:sectPr>
      <w:type w:val="nextPage"/>
      <w:pgSz w:h="15840" w:w="12240" w:orient="portrait"/>
      <w:pgMar w:bottom="1008" w:top="1008" w:left="1008" w:right="10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0"/>
        <w:iCs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Proyecto Integrador </w:t>
    </w:r>
    <w:r w:rsidDel="00000000" w:rsidR="00000000" w:rsidRPr="00000000">
      <w:rPr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Parkgo</w:t>
    </w:r>
    <w:r w:rsidDel="00000000" w:rsidR="00000000" w:rsidRPr="00000000">
      <w:rPr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 · Fundación Universitaria San Mateo · 2026-2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spacing w:after="10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4038600</wp:posOffset>
          </wp:positionH>
          <wp:positionV relativeFrom="paragraph">
            <wp:posOffset>333375</wp:posOffset>
          </wp:positionV>
          <wp:extent cx="1506179" cy="4095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179" cy="409575"/>
                  </a:xfrm>
                  <a:prstGeom prst="rect"/>
                  <a:ln/>
                </pic:spPr>
              </pic:pic>
            </a:graphicData>
          </a:graphic>
        </wp:anchor>
      </w:drawing>
    </w:r>
  </w:p>
  <w:sdt>
    <w:sdtPr>
      <w:lock w:val="contentLocked"/>
      <w:id w:val="2011532754"/>
      <w:tag w:val="goog_rdk_0"/>
    </w:sdtPr>
    <w:sdtContent>
      <w:tbl>
        <w:tblPr>
          <w:tblStyle w:val="Table9"/>
          <w:tblpPr w:leftFromText="180" w:rightFromText="180" w:topFromText="180" w:bottomFromText="180" w:vertAnchor="text" w:horzAnchor="text" w:tblpX="0" w:tblpY="0"/>
          <w:tblW w:w="10245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385"/>
          <w:gridCol w:w="2250"/>
          <w:gridCol w:w="1950"/>
          <w:gridCol w:w="3660"/>
          <w:tblGridChange w:id="0">
            <w:tblGrid>
              <w:gridCol w:w="2385"/>
              <w:gridCol w:w="2250"/>
              <w:gridCol w:w="1950"/>
              <w:gridCol w:w="3660"/>
            </w:tblGrid>
          </w:tblGridChange>
        </w:tblGrid>
        <w:tr>
          <w:trPr>
            <w:cantSplit w:val="0"/>
            <w:trHeight w:val="900" w:hRule="atLeast"/>
            <w:tblHeader w:val="0"/>
          </w:trPr>
          <w:tc>
            <w:tcPr>
              <w:gridSpan w:val="2"/>
              <w:vMerge w:val="restart"/>
            </w:tcPr>
            <w:p w:rsidR="00000000" w:rsidDel="00000000" w:rsidP="00000000" w:rsidRDefault="00000000" w:rsidRPr="00000000" w14:paraId="0000011F">
              <w:pPr>
                <w:widowControl w:val="0"/>
                <w:spacing w:after="0" w:line="240" w:lineRule="auto"/>
                <w:rPr>
                  <w:color w:val="000000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gridSpan w:val="2"/>
              <w:vMerge w:val="restart"/>
            </w:tcPr>
            <w:p w:rsidR="00000000" w:rsidDel="00000000" w:rsidP="00000000" w:rsidRDefault="00000000" w:rsidRPr="00000000" w14:paraId="00000121">
              <w:pPr>
                <w:widowControl w:val="0"/>
                <w:spacing w:after="0" w:line="240" w:lineRule="auto"/>
                <w:rPr>
                  <w:color w:val="000000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blHeader w:val="0"/>
          </w:trPr>
          <w:tc>
            <w:tcPr>
              <w:gridSpan w:val="2"/>
              <w:vMerge w:val="continue"/>
            </w:tcPr>
            <w:p w:rsidR="00000000" w:rsidDel="00000000" w:rsidP="00000000" w:rsidRDefault="00000000" w:rsidRPr="00000000" w14:paraId="00000123">
              <w:pPr>
                <w:widowControl w:val="0"/>
                <w:spacing w:after="0" w:line="240" w:lineRule="auto"/>
                <w:rPr>
                  <w:color w:val="000000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gridSpan w:val="2"/>
              <w:vMerge w:val="continue"/>
            </w:tcPr>
            <w:p w:rsidR="00000000" w:rsidDel="00000000" w:rsidP="00000000" w:rsidRDefault="00000000" w:rsidRPr="00000000" w14:paraId="00000125">
              <w:pPr>
                <w:widowControl w:val="0"/>
                <w:spacing w:after="0" w:line="240" w:lineRule="auto"/>
                <w:rPr>
                  <w:color w:val="000000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69.9609375" w:hRule="atLeast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127">
              <w:pPr>
                <w:widowControl w:val="0"/>
                <w:spacing w:after="0" w:line="240" w:lineRule="auto"/>
                <w:jc w:val="center"/>
                <w:rPr>
                  <w:color w:val="000000"/>
                </w:rPr>
              </w:pPr>
              <w:r w:rsidDel="00000000" w:rsidR="00000000" w:rsidRPr="00000000">
                <w:rPr>
                  <w:color w:val="000000"/>
                  <w:rtl w:val="0"/>
                </w:rPr>
                <w:t xml:space="preserve">VERSIÓN</w:t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128">
              <w:pPr>
                <w:widowControl w:val="0"/>
                <w:spacing w:after="0" w:line="240" w:lineRule="auto"/>
                <w:jc w:val="center"/>
                <w:rPr>
                  <w:color w:val="000000"/>
                </w:rPr>
              </w:pPr>
              <w:r w:rsidDel="00000000" w:rsidR="00000000" w:rsidRPr="00000000">
                <w:rPr>
                  <w:color w:val="000000"/>
                  <w:rtl w:val="0"/>
                </w:rPr>
                <w:t xml:space="preserve">2</w:t>
              </w:r>
            </w:p>
          </w:tc>
          <w:tc>
            <w:tcPr>
              <w:gridSpan w:val="2"/>
              <w:tcMar>
                <w:top w:w="-680.3149606299213" w:type="dxa"/>
                <w:left w:w="-680.3149606299213" w:type="dxa"/>
                <w:bottom w:w="-680.3149606299213" w:type="dxa"/>
                <w:right w:w="-680.3149606299213" w:type="dxa"/>
              </w:tcMar>
              <w:vAlign w:val="center"/>
            </w:tcPr>
            <w:p w:rsidR="00000000" w:rsidDel="00000000" w:rsidP="00000000" w:rsidRDefault="00000000" w:rsidRPr="00000000" w14:paraId="00000129">
              <w:pPr>
                <w:widowControl w:val="0"/>
                <w:spacing w:after="0" w:line="240" w:lineRule="auto"/>
                <w:jc w:val="center"/>
                <w:rPr>
                  <w:color w:val="000000"/>
                </w:rPr>
              </w:pPr>
              <w:r w:rsidDel="00000000" w:rsidR="00000000" w:rsidRPr="00000000">
                <w:rPr>
                  <w:color w:val="000000"/>
                  <w:rtl w:val="0"/>
                </w:rPr>
                <w:t xml:space="preserve">PÁGINA </w:t>
              </w:r>
              <w:r w:rsidDel="00000000" w:rsidR="00000000" w:rsidRPr="00000000">
                <w:rPr>
                  <w:color w:val="000000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12B">
    <w:pPr>
      <w:spacing w:after="100" w:lineRule="auto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4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color w:val="00000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1065000</wp:posOffset>
          </wp:positionH>
          <wp:positionV relativeFrom="page">
            <wp:posOffset>790575</wp:posOffset>
          </wp:positionV>
          <wp:extent cx="1263862" cy="410259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3862" cy="4102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74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e69138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44a7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4a7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enqjwQc9HntGplL5dWHUcageA==">CgMxLjAaHwoBMBIaChgICVIUChJ0YWJsZS5mc25rYXIzbHNhZmU4AHIhMXBQTTdLTHhXcnA4VC1ZRlZwZ1U4S25kQmJiVDNTamoz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del Proyecto Integrador Parkgo</dc:creator>
</cp:coreProperties>
</file>