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PARKGO</w:t>
      </w:r>
    </w:p>
    <w:p>
      <w:pPr>
        <w:jc w:val="center"/>
      </w:pPr>
      <w:r>
        <w:rPr>
          <w:b/>
          <w:sz w:val="36"/>
        </w:rPr>
        <w:t>Manual de seguridad y operación para personal de vigilancia</w:t>
      </w:r>
    </w:p>
    <w:p>
      <w:pPr>
        <w:jc w:val="center"/>
      </w:pPr>
      <w:r>
        <w:rPr>
          <w:i/>
          <w:sz w:val="20"/>
        </w:rPr>
        <w:t>Guía de uso desde computador o puesto de control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PARKGO — Sistema web y móvil para la gestión de estacionamientos</w:t>
            </w:r>
          </w:p>
        </w:tc>
      </w:tr>
      <w:tr>
        <w:tc>
          <w:tcPr>
            <w:tcW w:type="dxa" w:w="100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Fundación Universitaria San Mateo | Semestre 8 | Grupo 01N31 | 2026-2</w:t>
            </w:r>
          </w:p>
        </w:tc>
      </w:tr>
      <w:tr>
        <w:tc>
          <w:tcPr>
            <w:tcW w:type="dxa" w:w="100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Elaborado por: Jisel Alexandra Beltran Guzmán · Juan David Méndez Mejía · Luis Esteban Vargas Pelayo · Keiner Sebastián Penagos Villalobos</w:t>
            </w:r>
          </w:p>
        </w:tc>
      </w:tr>
    </w:tbl>
    <w:p/>
    <w:p>
      <w:r>
        <w:rPr>
          <w:b/>
        </w:rPr>
        <w:t xml:space="preserve">Nota académica: </w:t>
      </w:r>
      <w:r>
        <w:t>Este documento se elaboró con base en la descripción disponible del proyecto Parkgo. Los nombres exactos de botones, pantallas, canales de soporte y parámetros técnicos deben ajustarse al prototipo o versión final que presente el equipo.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t>Establecer una guía de referencia para el personal de seguridad que participe en la validación de accesos y en el registro de entradas y salidas desde un computador o puesto de control. El procedimiento debe ajustarse a la interfaz y a las normas del lugar donde se despliegue Parkgo.</w:t>
      </w:r>
    </w:p>
    <w:p>
      <w:pPr>
        <w:pStyle w:val="Heading1"/>
      </w:pPr>
      <w:r>
        <w:t>2. Responsabilidades del personal de vigilancia</w:t>
      </w:r>
    </w:p>
    <w:p>
      <w:pPr>
        <w:pStyle w:val="ListBullet"/>
      </w:pPr>
      <w:r>
        <w:t>Utilizar su cuenta individual y no compartirla con compañeros.</w:t>
      </w:r>
    </w:p>
    <w:p>
      <w:pPr>
        <w:pStyle w:val="ListBullet"/>
      </w:pPr>
      <w:r>
        <w:t>Verificar que el código o autorización corresponda a la persona y visita indicada por el procedimiento local.</w:t>
      </w:r>
    </w:p>
    <w:p>
      <w:pPr>
        <w:pStyle w:val="ListBullet"/>
      </w:pPr>
      <w:r>
        <w:t>Registrar entradas y salidas de manera oportuna y exacta.</w:t>
      </w:r>
    </w:p>
    <w:p>
      <w:pPr>
        <w:pStyle w:val="ListBullet"/>
      </w:pPr>
      <w:r>
        <w:t>Informar diferencias entre el sistema y la situación observada.</w:t>
      </w:r>
    </w:p>
    <w:p>
      <w:pPr>
        <w:pStyle w:val="ListBullet"/>
      </w:pPr>
      <w:r>
        <w:t>Proteger la información de residentes y visitantes y no divulgarla a personas no autorizadas.</w:t>
      </w:r>
    </w:p>
    <w:p>
      <w:pPr>
        <w:pStyle w:val="Heading1"/>
      </w:pPr>
      <w:r>
        <w:t>3. Inicio de turno</w:t>
      </w:r>
    </w:p>
    <w:p>
      <w:pPr>
        <w:pStyle w:val="ListNumber"/>
      </w:pPr>
      <w:r>
        <w:t>Encender o utilizar el equipo autorizado y comprobar la conexión.</w:t>
      </w:r>
    </w:p>
    <w:p>
      <w:pPr>
        <w:pStyle w:val="ListNumber"/>
      </w:pPr>
      <w:r>
        <w:t>Abrir la dirección o aplicación oficial de Parkgo.</w:t>
      </w:r>
    </w:p>
    <w:p>
      <w:pPr>
        <w:pStyle w:val="ListNumber"/>
      </w:pPr>
      <w:r>
        <w:t>Ingresar con la cuenta asignada al puesto o al operador.</w:t>
      </w:r>
    </w:p>
    <w:p>
      <w:pPr>
        <w:pStyle w:val="ListNumber"/>
      </w:pPr>
      <w:r>
        <w:t>Verificar que se encuentre disponible el módulo de control de acceso.</w:t>
      </w:r>
    </w:p>
    <w:p>
      <w:pPr>
        <w:pStyle w:val="ListNumber"/>
      </w:pPr>
      <w:r>
        <w:t>Si hay errores, no utilizar cuentas ajenas ni registrar operaciones ficticias; comunicar la situación al responsable.</w:t>
      </w:r>
    </w:p>
    <w:p>
      <w:pPr>
        <w:pStyle w:val="Heading1"/>
      </w:pPr>
      <w:r>
        <w:t>4. Validación de entrada</w:t>
      </w:r>
    </w:p>
    <w:p>
      <w:pPr>
        <w:pStyle w:val="ListNumber"/>
      </w:pPr>
      <w:r>
        <w:t>Solicitar el código QR o alfanumérico de la autorización cuando el procedimiento lo requiera.</w:t>
      </w:r>
    </w:p>
    <w:p>
      <w:pPr>
        <w:pStyle w:val="ListNumber"/>
      </w:pPr>
      <w:r>
        <w:t>Leer o ingresar el código en el módulo correspondiente.</w:t>
      </w:r>
    </w:p>
    <w:p>
      <w:pPr>
        <w:pStyle w:val="ListNumber"/>
      </w:pPr>
      <w:r>
        <w:t>Comprobar el resultado de la validación y la información que el sistema esté autorizado a mostrar.</w:t>
      </w:r>
    </w:p>
    <w:p>
      <w:pPr>
        <w:pStyle w:val="ListNumber"/>
      </w:pPr>
      <w:r>
        <w:t>Si la autorización es válida, completar el registro de entrada según las instrucciones de la pantalla.</w:t>
      </w:r>
    </w:p>
    <w:p>
      <w:pPr>
        <w:pStyle w:val="ListNumber"/>
      </w:pPr>
      <w:r>
        <w:t>Si el código es inválido, está vencido o no coincide con la visita, no forzar la operación: aplicar el procedimiento local de verificación y contactar al administrador cuando sea necesario.</w:t>
      </w:r>
    </w:p>
    <w:p>
      <w:pPr>
        <w:pStyle w:val="Heading1"/>
      </w:pPr>
      <w:r>
        <w:t>5. Registro de salida y seguimiento de estadía</w:t>
      </w:r>
    </w:p>
    <w:p>
      <w:pPr>
        <w:pStyle w:val="ListNumber"/>
      </w:pPr>
      <w:r>
        <w:t>Localizar la operación o autorización correspondiente, si la función está disponible.</w:t>
      </w:r>
    </w:p>
    <w:p>
      <w:pPr>
        <w:pStyle w:val="ListNumber"/>
      </w:pPr>
      <w:r>
        <w:t>Verificar que la persona y el vehículo correspondan al registro que se va a cerrar.</w:t>
      </w:r>
    </w:p>
    <w:p>
      <w:pPr>
        <w:pStyle w:val="ListNumber"/>
      </w:pPr>
      <w:r>
        <w:t>Registrar la salida en el sistema y confirmar que la operación haya quedado guardada.</w:t>
      </w:r>
    </w:p>
    <w:p>
      <w:pPr>
        <w:pStyle w:val="ListNumber"/>
      </w:pPr>
      <w:r>
        <w:t>Revisar alertas sobre duración de estadía únicamente como información para validación; seguir las reglas aprobadas por la administración.</w:t>
      </w:r>
    </w:p>
    <w:p>
      <w:pPr>
        <w:pStyle w:val="ListNumber"/>
      </w:pPr>
      <w:r>
        <w:t>Si se registra una salida equivocada o duplicada, reportar el incidente para corrección autorizada.</w:t>
      </w:r>
    </w:p>
    <w:p>
      <w:pPr>
        <w:pStyle w:val="Heading1"/>
      </w:pPr>
      <w:r>
        <w:t>6. Manejo de códigos y excepciones</w:t>
      </w:r>
    </w:p>
    <w:p>
      <w:pPr>
        <w:pStyle w:val="ListBullet"/>
      </w:pPr>
      <w:r>
        <w:t>No fotografiar ni conservar códigos de acceso más tiempo del necesario para el procedimiento autorizado.</w:t>
      </w:r>
    </w:p>
    <w:p>
      <w:pPr>
        <w:pStyle w:val="ListBullet"/>
      </w:pPr>
      <w:r>
        <w:t>No aceptar capturas antiguas como prueba suficiente si el sistema requiere validar un código vigente.</w:t>
      </w:r>
    </w:p>
    <w:p>
      <w:pPr>
        <w:pStyle w:val="ListBullet"/>
      </w:pPr>
      <w:r>
        <w:t>Ante una caída del sistema, seguir el procedimiento de contingencia aprobado por la administración y llevar un registro temporal protegido, si está autorizado.</w:t>
      </w:r>
    </w:p>
    <w:p>
      <w:pPr>
        <w:pStyle w:val="ListBullet"/>
      </w:pPr>
      <w:r>
        <w:t>Cuando el sistema se restablezca, registrar o conciliar la información según las instrucciones del responsable; no inventar movimientos para completar datos faltantes.</w:t>
      </w:r>
    </w:p>
    <w:p>
      <w:pPr>
        <w:pStyle w:val="Heading1"/>
      </w:pPr>
      <w:r>
        <w:t>7. Protección del puesto de control</w:t>
      </w:r>
    </w:p>
    <w:p>
      <w:pPr>
        <w:pStyle w:val="ListBullet"/>
      </w:pPr>
      <w:r>
        <w:t>Bloquear la pantalla cuando el operador se aleje del puesto.</w:t>
      </w:r>
    </w:p>
    <w:p>
      <w:pPr>
        <w:pStyle w:val="ListBullet"/>
      </w:pPr>
      <w:r>
        <w:t>Evitar que visitantes vean listados o datos de otros residentes.</w:t>
      </w:r>
    </w:p>
    <w:p>
      <w:pPr>
        <w:pStyle w:val="ListBullet"/>
      </w:pPr>
      <w:r>
        <w:t>No instalar programas ni conectar dispositivos desconocidos al computador de operación.</w:t>
      </w:r>
    </w:p>
    <w:p>
      <w:pPr>
        <w:pStyle w:val="ListBullet"/>
      </w:pPr>
      <w:r>
        <w:t>No anotar contraseñas en papeles visibles ni compartirlas por mensajería.</w:t>
      </w:r>
    </w:p>
    <w:p>
      <w:pPr>
        <w:pStyle w:val="ListBullet"/>
      </w:pPr>
      <w:r>
        <w:t>Reportar pérdida del equipo, sospecha de acceso indebido o exposición de información.</w:t>
      </w:r>
    </w:p>
    <w:p>
      <w:pPr>
        <w:pStyle w:val="Heading1"/>
      </w:pPr>
      <w:r>
        <w:t>8. Entrega de turno</w:t>
      </w:r>
    </w:p>
    <w:p>
      <w:pPr>
        <w:pStyle w:val="ListNumber"/>
      </w:pPr>
      <w:r>
        <w:t>Cerrar o bloquear la sesión conforme al procedimiento definido.</w:t>
      </w:r>
    </w:p>
    <w:p>
      <w:pPr>
        <w:pStyle w:val="ListNumber"/>
      </w:pPr>
      <w:r>
        <w:t>Informar al siguiente turno de incidencias pendientes sin compartir credenciales.</w:t>
      </w:r>
    </w:p>
    <w:p>
      <w:pPr>
        <w:pStyle w:val="ListNumber"/>
      </w:pPr>
      <w:r>
        <w:t>Entregar los registros temporales de contingencia por el canal autorizado.</w:t>
      </w:r>
    </w:p>
    <w:p>
      <w:pPr>
        <w:pStyle w:val="ListNumber"/>
      </w:pPr>
      <w:r>
        <w:t>Comunicar al supervisor los errores, interrupciones y operaciones que requieren revisión.</w:t>
      </w:r>
    </w:p>
    <w:p>
      <w:pPr>
        <w:pStyle w:val="Heading1"/>
      </w:pPr>
      <w:r>
        <w:t>9. Incidentes y escalamiento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Evento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Acción inmediata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Escalamiento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Sistema no disponible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Aplicar contingencia aprobada y registrar hora de inicio.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Supervisor y soporte técnico.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Código inválido o inconsistente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autorizar únicamente por presión; verificar por el canal definido.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Administrador o supervisor.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Registro duplicado o equivocado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borrar ni alterar datos sin autorización.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Administrador del sistema.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Posible acceso no autorizado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Proteger la sesión y reportar sin investigar por cuenta propia.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Supervisor y responsable técnico.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Exposición de datos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Limitar la visualización y comunicar el incidente de inmediato.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Responsable de seguridad o administración.</w:t>
            </w:r>
          </w:p>
        </w:tc>
      </w:tr>
    </w:tbl>
    <w:p>
      <w:pPr>
        <w:pStyle w:val="Heading1"/>
      </w:pPr>
      <w:r>
        <w:t>10. Lista de verificación del operador</w:t>
      </w:r>
    </w:p>
    <w:p>
      <w:r>
        <w:t>☐ Usé mi propia cuenta.</w:t>
      </w:r>
    </w:p>
    <w:p>
      <w:r>
        <w:t>☐ Verifiqué el código y los datos pertinentes.</w:t>
      </w:r>
    </w:p>
    <w:p>
      <w:r>
        <w:t>☐ Registré la entrada o salida una sola vez.</w:t>
      </w:r>
    </w:p>
    <w:p>
      <w:r>
        <w:t>☐ No compartí información ni credenciales.</w:t>
      </w:r>
    </w:p>
    <w:p>
      <w:r>
        <w:t>☐ Reporté las excepciones y dejé constancia de los pendientes.</w:t>
      </w:r>
    </w:p>
    <w:p>
      <w:r>
        <w:t>☐ Bloqueé o cerré la sesión al terminar.</w:t>
      </w:r>
    </w:p>
    <w:p>
      <w:pPr>
        <w:pStyle w:val="Heading1"/>
      </w:pPr>
      <w:r>
        <w:t>11. Nota de aplicación</w:t>
      </w:r>
    </w:p>
    <w:p>
      <w:r>
        <w:t>Este manual es una guía académica. La administración debe definir y comunicar el protocolo oficial de contingencia, los contactos de escalamiento, las reglas de autorización y los tiempos de atención antes de usarlo en operación real.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