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7292" w14:textId="0DBEB2FB" w:rsidR="00356FA9" w:rsidRPr="00F86EB8" w:rsidRDefault="00356FA9" w:rsidP="00044C95">
      <w:pPr>
        <w:spacing w:after="0"/>
        <w:rPr>
          <w:rFonts w:ascii="Aptos Narrow" w:hAnsi="Aptos Narrow"/>
          <w:color w:val="000000" w:themeColor="text1"/>
          <w:lang w:val="es-ES"/>
        </w:rPr>
      </w:pPr>
    </w:p>
    <w:p w14:paraId="7392F825" w14:textId="1C9B2C51" w:rsidR="003C23E7" w:rsidRPr="00F86EB8" w:rsidRDefault="003C23E7" w:rsidP="003C23E7">
      <w:pPr>
        <w:spacing w:after="0"/>
        <w:rPr>
          <w:rFonts w:ascii="Aptos Narrow" w:eastAsia="Arial Narrow" w:hAnsi="Aptos Narrow" w:cs="Arial Narrow"/>
          <w:color w:val="000000" w:themeColor="text1"/>
          <w:lang w:val="es-ES"/>
        </w:rPr>
      </w:pP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Bogotá D.C., </w:t>
      </w:r>
      <w:r w:rsidR="00305FAF">
        <w:rPr>
          <w:rFonts w:ascii="Aptos Narrow" w:eastAsia="Arial Narrow" w:hAnsi="Aptos Narrow" w:cs="Arial Narrow"/>
          <w:color w:val="000000" w:themeColor="text1"/>
          <w:lang w:val="es-ES"/>
        </w:rPr>
        <w:t>23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de</w:t>
      </w:r>
      <w:r w:rsidR="00305FAF">
        <w:rPr>
          <w:rFonts w:ascii="Aptos Narrow" w:eastAsia="Arial Narrow" w:hAnsi="Aptos Narrow" w:cs="Arial Narrow"/>
          <w:color w:val="000000" w:themeColor="text1"/>
          <w:lang w:val="es-ES"/>
        </w:rPr>
        <w:t xml:space="preserve"> junio</w:t>
      </w:r>
      <w:r w:rsidR="001B278E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de 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>202</w:t>
      </w:r>
      <w:r w:rsidR="000A6B43" w:rsidRPr="00F86EB8">
        <w:rPr>
          <w:rFonts w:ascii="Aptos Narrow" w:eastAsia="Arial Narrow" w:hAnsi="Aptos Narrow" w:cs="Arial Narrow"/>
          <w:color w:val="000000" w:themeColor="text1"/>
          <w:lang w:val="es-ES"/>
        </w:rPr>
        <w:t>5</w:t>
      </w:r>
    </w:p>
    <w:p w14:paraId="6846AB82" w14:textId="77777777" w:rsidR="003C23E7" w:rsidRPr="00F86EB8" w:rsidRDefault="003C23E7" w:rsidP="003C23E7">
      <w:pPr>
        <w:spacing w:after="0"/>
        <w:rPr>
          <w:rFonts w:ascii="Aptos Narrow" w:eastAsia="Arial Narrow" w:hAnsi="Aptos Narrow" w:cs="Arial Narrow"/>
          <w:color w:val="000000" w:themeColor="text1"/>
          <w:lang w:val="es-ES"/>
        </w:rPr>
      </w:pPr>
    </w:p>
    <w:p w14:paraId="2CA948B5" w14:textId="220E1541" w:rsidR="003C23E7" w:rsidRPr="00F86EB8" w:rsidRDefault="001B278E" w:rsidP="00AF20F9">
      <w:pPr>
        <w:jc w:val="center"/>
        <w:rPr>
          <w:rFonts w:ascii="Aptos Narrow" w:eastAsia="Arial Narrow" w:hAnsi="Aptos Narrow" w:cs="Arial Narrow"/>
          <w:b/>
          <w:color w:val="000000" w:themeColor="text1"/>
          <w:lang w:val="es-ES"/>
        </w:rPr>
      </w:pPr>
      <w:r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 xml:space="preserve">REPORTE FASE </w:t>
      </w:r>
      <w:r w:rsidR="001F50EF">
        <w:rPr>
          <w:rFonts w:ascii="Aptos Narrow" w:eastAsia="Arial Narrow" w:hAnsi="Aptos Narrow" w:cs="Arial Narrow"/>
          <w:b/>
          <w:color w:val="000000" w:themeColor="text1"/>
          <w:lang w:val="es-ES"/>
        </w:rPr>
        <w:t>3</w:t>
      </w:r>
    </w:p>
    <w:p w14:paraId="0AAF902A" w14:textId="15B86688" w:rsidR="003C23E7" w:rsidRPr="00F86EB8" w:rsidRDefault="008E2D25" w:rsidP="003C23E7">
      <w:pPr>
        <w:jc w:val="center"/>
        <w:rPr>
          <w:rFonts w:ascii="Aptos Narrow" w:eastAsia="Arial Narrow" w:hAnsi="Aptos Narrow" w:cs="Arial Narrow"/>
          <w:b/>
          <w:color w:val="000000" w:themeColor="text1"/>
          <w:lang w:val="es-ES"/>
        </w:rPr>
      </w:pPr>
      <w:r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>TRABAJO FINAL DE MAESTR</w:t>
      </w:r>
      <w:r w:rsidR="00C30AD7"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>Í</w:t>
      </w:r>
      <w:r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>A “</w:t>
      </w:r>
      <w:r w:rsidR="007A2AEC"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>PRONÓSTICO DE LA PRECIPITACIÓN ACUMULADA EN COLOMBIA, UTILIZANDO TÉCNICAS DE APRENDIZAJE AUTOMÁTICO</w:t>
      </w:r>
      <w:r w:rsidR="00F9035A"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>”</w:t>
      </w:r>
    </w:p>
    <w:tbl>
      <w:tblPr>
        <w:tblW w:w="9351" w:type="dxa"/>
        <w:tblLayout w:type="fixed"/>
        <w:tblLook w:val="0000" w:firstRow="0" w:lastRow="0" w:firstColumn="0" w:lastColumn="0" w:noHBand="0" w:noVBand="0"/>
      </w:tblPr>
      <w:tblGrid>
        <w:gridCol w:w="4957"/>
        <w:gridCol w:w="4394"/>
      </w:tblGrid>
      <w:tr w:rsidR="002E0088" w:rsidRPr="00F86EB8" w14:paraId="428383FC" w14:textId="77777777" w:rsidTr="00D745F3">
        <w:trPr>
          <w:trHeight w:val="30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E5B7" w14:textId="62A119E1" w:rsidR="002E0088" w:rsidRPr="00F86EB8" w:rsidRDefault="002E0088" w:rsidP="00876EFD">
            <w:pPr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color w:val="000000" w:themeColor="text1"/>
                <w:lang w:val="es-ES"/>
              </w:rPr>
              <w:t>NOMBRE:</w:t>
            </w: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JUAN DIEGO MOGOLLÓN OVIEDO </w:t>
            </w:r>
          </w:p>
        </w:tc>
      </w:tr>
      <w:tr w:rsidR="0014555E" w:rsidRPr="00F86EB8" w14:paraId="0ACEADC8" w14:textId="77777777" w:rsidTr="00876EFD">
        <w:trPr>
          <w:trHeight w:val="60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FC5C04" w14:textId="70EDC7BB" w:rsidR="003C23E7" w:rsidRPr="00F86EB8" w:rsidRDefault="00F9035A" w:rsidP="00F9035A">
            <w:pPr>
              <w:jc w:val="both"/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color w:val="000000" w:themeColor="text1"/>
                <w:lang w:val="es-ES"/>
              </w:rPr>
              <w:t>OBJETIVO:</w:t>
            </w: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</w:t>
            </w:r>
            <w:r w:rsidR="003F5010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Desarrollar un modelo para el pronóstico de la precipitación acumulada en Colombia, utilizando técnicas de aprendizaje automático.</w:t>
            </w:r>
          </w:p>
          <w:p w14:paraId="5316C103" w14:textId="20304F3F" w:rsidR="00931F5E" w:rsidRPr="00F86EB8" w:rsidRDefault="00931F5E" w:rsidP="00F9035A">
            <w:pPr>
              <w:jc w:val="both"/>
              <w:rPr>
                <w:rFonts w:ascii="Aptos Narrow" w:eastAsia="Arial Narrow" w:hAnsi="Aptos Narrow" w:cs="Arial Narrow"/>
                <w:b/>
                <w:bCs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bCs/>
                <w:color w:val="000000" w:themeColor="text1"/>
                <w:lang w:val="es-ES"/>
              </w:rPr>
              <w:t>OBJETIVOS ESPEC</w:t>
            </w:r>
            <w:r w:rsidR="00D5451E" w:rsidRPr="00F86EB8">
              <w:rPr>
                <w:rFonts w:ascii="Aptos Narrow" w:eastAsia="Arial Narrow" w:hAnsi="Aptos Narrow" w:cs="Arial Narrow"/>
                <w:b/>
                <w:bCs/>
                <w:color w:val="000000" w:themeColor="text1"/>
                <w:lang w:val="es-ES"/>
              </w:rPr>
              <w:t>Í</w:t>
            </w:r>
            <w:r w:rsidRPr="00F86EB8">
              <w:rPr>
                <w:rFonts w:ascii="Aptos Narrow" w:eastAsia="Arial Narrow" w:hAnsi="Aptos Narrow" w:cs="Arial Narrow"/>
                <w:b/>
                <w:bCs/>
                <w:color w:val="000000" w:themeColor="text1"/>
                <w:lang w:val="es-ES"/>
              </w:rPr>
              <w:t>FICOS</w:t>
            </w:r>
            <w:r w:rsidR="008C0297" w:rsidRPr="00F86EB8">
              <w:rPr>
                <w:rFonts w:ascii="Aptos Narrow" w:eastAsia="Arial Narrow" w:hAnsi="Aptos Narrow" w:cs="Arial Narrow"/>
                <w:b/>
                <w:bCs/>
                <w:color w:val="000000" w:themeColor="text1"/>
                <w:lang w:val="es-ES"/>
              </w:rPr>
              <w:t xml:space="preserve">: </w:t>
            </w:r>
          </w:p>
          <w:p w14:paraId="74EDD313" w14:textId="77777777" w:rsidR="008C0297" w:rsidRPr="00F86EB8" w:rsidRDefault="003F5010" w:rsidP="003F5010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Seleccionar un conjunto de datos abiertos de precipitación acumulada en Colombia, verificando su acceso y calidad mediante algoritmos de análisis de datos.</w:t>
            </w:r>
          </w:p>
          <w:p w14:paraId="03F26330" w14:textId="77777777" w:rsidR="00564E8E" w:rsidRPr="00F86EB8" w:rsidRDefault="00564E8E" w:rsidP="00564E8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Implementar un proceso para la extracción, transformación y carga de los datos, aplicando técnicas de ingeniería de características.</w:t>
            </w:r>
          </w:p>
          <w:p w14:paraId="669B40CB" w14:textId="77777777" w:rsidR="00E91469" w:rsidRPr="00F86EB8" w:rsidRDefault="00E91469" w:rsidP="00E91469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Evaluar el desempeño de diferentes algoritmos de aprendizaje automático para el pronóstico de precipitación acumulada, utilizando los datos procesados y métricas de evaluación empleadas en predicción climática.</w:t>
            </w:r>
          </w:p>
          <w:p w14:paraId="4A6B209B" w14:textId="7E4594E7" w:rsidR="00E91469" w:rsidRPr="00F86EB8" w:rsidRDefault="00D70E72" w:rsidP="00D70E72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Diseñar una arquitectura para la implementación del modelo en un entorno de prueba, aplicando prácticas y herramientas de operaciones de aprendizaje automático.</w:t>
            </w:r>
          </w:p>
        </w:tc>
      </w:tr>
      <w:tr w:rsidR="0014555E" w:rsidRPr="00F86EB8" w14:paraId="7618E400" w14:textId="77777777" w:rsidTr="00876EFD">
        <w:trPr>
          <w:trHeight w:val="30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9278" w14:textId="6584DDA3" w:rsidR="003C23E7" w:rsidRPr="00F86EB8" w:rsidRDefault="003C23E7" w:rsidP="00876EFD">
            <w:pPr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color w:val="000000" w:themeColor="text1"/>
                <w:lang w:val="es-ES"/>
              </w:rPr>
              <w:t>PLAZO DE EJECUCIÓN:</w:t>
            </w: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</w:t>
            </w:r>
            <w:r w:rsidR="00BA20BE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16</w:t>
            </w:r>
            <w:r w:rsidR="00800BD9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</w:t>
            </w:r>
            <w:r w:rsidR="00BA20BE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semanas</w:t>
            </w:r>
          </w:p>
        </w:tc>
      </w:tr>
      <w:tr w:rsidR="003C23E7" w:rsidRPr="00F86EB8" w14:paraId="38E74D02" w14:textId="77777777" w:rsidTr="00876EFD">
        <w:trPr>
          <w:trHeight w:val="300"/>
        </w:trPr>
        <w:tc>
          <w:tcPr>
            <w:tcW w:w="4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EFCF1C" w14:textId="07D00C11" w:rsidR="003C23E7" w:rsidRPr="00F86EB8" w:rsidRDefault="003C23E7" w:rsidP="00876EFD">
            <w:pPr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color w:val="000000" w:themeColor="text1"/>
                <w:lang w:val="es-ES"/>
              </w:rPr>
              <w:t xml:space="preserve">INICIO: </w:t>
            </w:r>
            <w:r w:rsidR="00C30AD7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31</w:t>
            </w: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de </w:t>
            </w:r>
            <w:r w:rsidR="00C30AD7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marzo</w:t>
            </w:r>
            <w:r w:rsidR="00800BD9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de </w:t>
            </w:r>
            <w:r w:rsidR="00A91775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2025</w:t>
            </w:r>
          </w:p>
        </w:tc>
        <w:tc>
          <w:tcPr>
            <w:tcW w:w="43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9296F" w14:textId="7BA0156D" w:rsidR="003C23E7" w:rsidRPr="00F86EB8" w:rsidRDefault="003C23E7" w:rsidP="00876EFD">
            <w:pPr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color w:val="000000" w:themeColor="text1"/>
                <w:lang w:val="es-ES"/>
              </w:rPr>
              <w:t>FINALIZACIÓN:</w:t>
            </w: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</w:t>
            </w:r>
            <w:r w:rsidR="00C30AD7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26 de julio de 2025</w:t>
            </w:r>
          </w:p>
        </w:tc>
      </w:tr>
    </w:tbl>
    <w:p w14:paraId="1C821CB9" w14:textId="77777777" w:rsidR="003C23E7" w:rsidRPr="00F86EB8" w:rsidRDefault="003C23E7" w:rsidP="003C23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 Narrow" w:eastAsia="Arial Narrow" w:hAnsi="Aptos Narrow" w:cs="Arial Narrow"/>
          <w:color w:val="000000" w:themeColor="text1"/>
          <w:lang w:val="es-ES"/>
        </w:rPr>
      </w:pPr>
    </w:p>
    <w:p w14:paraId="609039BA" w14:textId="3291CB75" w:rsidR="003C23E7" w:rsidRPr="00F86EB8" w:rsidRDefault="003C23E7" w:rsidP="00DA5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 Narrow" w:eastAsia="Arial Narrow" w:hAnsi="Aptos Narrow" w:cs="Arial Narrow"/>
          <w:color w:val="000000" w:themeColor="text1"/>
          <w:lang w:val="es-ES"/>
        </w:rPr>
      </w:pP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>Con el objetivo de dar cumplimiento a</w:t>
      </w:r>
      <w:r w:rsidR="00C30AD7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l cronograma 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>estipulad</w:t>
      </w:r>
      <w:r w:rsidR="00C30AD7" w:rsidRPr="00F86EB8">
        <w:rPr>
          <w:rFonts w:ascii="Aptos Narrow" w:eastAsia="Arial Narrow" w:hAnsi="Aptos Narrow" w:cs="Arial Narrow"/>
          <w:color w:val="000000" w:themeColor="text1"/>
          <w:lang w:val="es-ES"/>
        </w:rPr>
        <w:t>o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en la </w:t>
      </w:r>
      <w:r w:rsidR="00C30AD7" w:rsidRPr="00F86EB8">
        <w:rPr>
          <w:rFonts w:ascii="Aptos Narrow" w:eastAsia="Arial Narrow" w:hAnsi="Aptos Narrow" w:cs="Arial Narrow"/>
          <w:color w:val="000000" w:themeColor="text1"/>
          <w:lang w:val="es-ES"/>
        </w:rPr>
        <w:t>“Propuesta de Trabajo Final de Maestría”</w:t>
      </w:r>
      <w:r w:rsidR="00BF7880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en el periodo </w:t>
      </w:r>
      <w:r w:rsidR="00C350AB" w:rsidRPr="00F86EB8">
        <w:rPr>
          <w:rFonts w:ascii="Aptos Narrow" w:eastAsia="Arial Narrow" w:hAnsi="Aptos Narrow" w:cs="Arial Narrow"/>
          <w:color w:val="000000" w:themeColor="text1"/>
          <w:lang w:val="es-ES"/>
        </w:rPr>
        <w:t>13</w:t>
      </w:r>
      <w:r w:rsidR="00BF7880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de</w:t>
      </w:r>
      <w:r w:rsidR="00197322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</w:t>
      </w:r>
      <w:r w:rsidR="00C350AB" w:rsidRPr="00F86EB8">
        <w:rPr>
          <w:rFonts w:ascii="Aptos Narrow" w:eastAsia="Arial Narrow" w:hAnsi="Aptos Narrow" w:cs="Arial Narrow"/>
          <w:color w:val="000000" w:themeColor="text1"/>
          <w:lang w:val="es-ES"/>
        </w:rPr>
        <w:t>mayo</w:t>
      </w:r>
      <w:r w:rsidR="00BF7880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</w:t>
      </w:r>
      <w:r w:rsidR="00077BCE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de 2025 al </w:t>
      </w:r>
      <w:r w:rsidR="00231BF7" w:rsidRPr="00F86EB8">
        <w:rPr>
          <w:rFonts w:ascii="Aptos Narrow" w:eastAsia="Arial Narrow" w:hAnsi="Aptos Narrow" w:cs="Arial Narrow"/>
          <w:color w:val="000000" w:themeColor="text1"/>
          <w:lang w:val="es-ES"/>
        </w:rPr>
        <w:t>08</w:t>
      </w:r>
      <w:r w:rsidR="00085794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de </w:t>
      </w:r>
      <w:r w:rsidR="00231BF7" w:rsidRPr="00F86EB8">
        <w:rPr>
          <w:rFonts w:ascii="Aptos Narrow" w:eastAsia="Arial Narrow" w:hAnsi="Aptos Narrow" w:cs="Arial Narrow"/>
          <w:color w:val="000000" w:themeColor="text1"/>
          <w:lang w:val="es-ES"/>
        </w:rPr>
        <w:t>junio</w:t>
      </w:r>
      <w:r w:rsidR="00085794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de 2025,</w:t>
      </w:r>
      <w:r w:rsidR="00C30AD7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</w:t>
      </w:r>
      <w:r w:rsidR="00085794" w:rsidRPr="00F86EB8">
        <w:rPr>
          <w:rFonts w:ascii="Aptos Narrow" w:eastAsia="Arial Narrow" w:hAnsi="Aptos Narrow" w:cs="Arial Narrow"/>
          <w:color w:val="000000" w:themeColor="text1"/>
          <w:lang w:val="es-ES"/>
        </w:rPr>
        <w:t>s</w:t>
      </w:r>
      <w:r w:rsidR="00143DB1" w:rsidRPr="00F86EB8">
        <w:rPr>
          <w:rFonts w:ascii="Aptos Narrow" w:eastAsia="Arial Narrow" w:hAnsi="Aptos Narrow" w:cs="Arial Narrow"/>
          <w:color w:val="000000" w:themeColor="text1"/>
          <w:lang w:val="es-ES"/>
        </w:rPr>
        <w:t>e presenta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</w:t>
      </w:r>
      <w:r w:rsidR="000835AE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a continuación 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el </w:t>
      </w:r>
      <w:r w:rsidR="008777F0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reporte de la fase </w:t>
      </w:r>
      <w:r w:rsidR="00D149DB" w:rsidRPr="00F86EB8">
        <w:rPr>
          <w:rFonts w:ascii="Aptos Narrow" w:eastAsia="Arial Narrow" w:hAnsi="Aptos Narrow" w:cs="Arial Narrow"/>
          <w:color w:val="000000" w:themeColor="text1"/>
          <w:lang w:val="es-ES"/>
        </w:rPr>
        <w:t>3</w:t>
      </w:r>
      <w:r w:rsidR="00085794" w:rsidRPr="00F86EB8">
        <w:rPr>
          <w:rFonts w:ascii="Aptos Narrow" w:eastAsia="Arial Narrow" w:hAnsi="Aptos Narrow" w:cs="Arial Narrow"/>
          <w:color w:val="000000" w:themeColor="text1"/>
          <w:lang w:val="es-ES"/>
        </w:rPr>
        <w:t>:</w:t>
      </w:r>
    </w:p>
    <w:p w14:paraId="78438FCB" w14:textId="77777777" w:rsidR="00AB12A2" w:rsidRPr="00F86EB8" w:rsidRDefault="00AB12A2" w:rsidP="00DA5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 Narrow" w:eastAsiaTheme="minorHAnsi" w:hAnsi="Aptos Narrow" w:cs="Arial Narrow"/>
          <w:i/>
          <w:iCs/>
          <w:color w:val="000000" w:themeColor="text1"/>
          <w:lang w:val="es-ES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DF6" w:rsidRPr="00F86EB8" w14:paraId="5051209E" w14:textId="77777777" w:rsidTr="00301DF6">
        <w:tc>
          <w:tcPr>
            <w:tcW w:w="9350" w:type="dxa"/>
          </w:tcPr>
          <w:p w14:paraId="0D1C674C" w14:textId="77777777" w:rsidR="0078511A" w:rsidRPr="00F86EB8" w:rsidRDefault="0078511A" w:rsidP="0078511A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  <w:t>RESULTADO OBTENIDO:</w:t>
            </w:r>
          </w:p>
          <w:p w14:paraId="15B3811B" w14:textId="39027626" w:rsidR="0078511A" w:rsidRPr="00F86EB8" w:rsidRDefault="0078511A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Se evaluó el desempeño de di</w:t>
            </w:r>
            <w:r w:rsidR="00BC6B7F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ferente</w:t>
            </w: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 algoritmos de aprendizaje automático para el pronóstico de la precipitación acumulada, utilizando datos previamente procesados y métricas comúnmente empleadas en predicción climática.</w:t>
            </w:r>
          </w:p>
          <w:p w14:paraId="226C9D5D" w14:textId="77777777" w:rsidR="0078511A" w:rsidRPr="00F86EB8" w:rsidRDefault="0078511A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</w:p>
          <w:p w14:paraId="4528B55A" w14:textId="31E903F9" w:rsidR="0078511A" w:rsidRPr="00F4651E" w:rsidRDefault="0078511A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Se consideraron técnicas ampliamente utilizadas con diferentes arquitecturas, incluyendo modelos basados en árboles de decisión, redes neuronales recurrentes</w:t>
            </w:r>
            <w:r w:rsidR="002B2EA4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, </w:t>
            </w:r>
            <w:r w:rsidR="00B65078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Transformers</w:t>
            </w: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y métodos híbridos con descomposición de señales. Los modelos evaluados fueron: </w:t>
            </w:r>
            <w:proofErr w:type="spellStart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XGBoost</w:t>
            </w:r>
            <w:proofErr w:type="spellEnd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, LSTM, </w:t>
            </w:r>
            <w:proofErr w:type="spellStart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BiLSTM</w:t>
            </w:r>
            <w:proofErr w:type="spellEnd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Lag</w:t>
            </w:r>
            <w:proofErr w:type="spellEnd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-Llama (solo evaluación), CEEMDAN-VMD-</w:t>
            </w:r>
            <w:proofErr w:type="spellStart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BiLSTM</w:t>
            </w:r>
            <w:proofErr w:type="spellEnd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y </w:t>
            </w:r>
            <w:proofErr w:type="spellStart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SBiLSTM</w:t>
            </w:r>
            <w:proofErr w:type="spellEnd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. Estos dos últimos modelos se fundamentan en los artículos </w:t>
            </w:r>
            <w:hyperlink r:id="rId8" w:history="1">
              <w:r w:rsidRPr="00130917">
                <w:rPr>
                  <w:rStyle w:val="Hipervnculo"/>
                  <w:rFonts w:ascii="Aptos Narrow" w:hAnsi="Aptos Narrow"/>
                  <w:sz w:val="22"/>
                  <w:szCs w:val="22"/>
                  <w:lang w:val="es-ES"/>
                </w:rPr>
                <w:t>[1]</w:t>
              </w:r>
            </w:hyperlink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y </w:t>
            </w:r>
            <w:hyperlink r:id="rId9" w:history="1">
              <w:r w:rsidRPr="00130917">
                <w:rPr>
                  <w:rStyle w:val="Hipervnculo"/>
                  <w:rFonts w:ascii="Aptos Narrow" w:hAnsi="Aptos Narrow"/>
                  <w:sz w:val="22"/>
                  <w:szCs w:val="22"/>
                  <w:lang w:val="es-ES"/>
                </w:rPr>
                <w:t>[2]</w:t>
              </w:r>
            </w:hyperlink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, donde se propone una combinación de técnicas de descomposición (CEEMDAN y VMD) y entrenamiento con retroalimentación mediante una </w:t>
            </w:r>
            <w:proofErr w:type="spellStart"/>
            <w:r w:rsidR="0074792F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Support</w:t>
            </w:r>
            <w:proofErr w:type="spellEnd"/>
            <w:r w:rsidR="0074792F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Vector Machine (</w:t>
            </w: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SVM</w:t>
            </w:r>
            <w:r w:rsidR="0074792F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)</w:t>
            </w: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.</w:t>
            </w:r>
            <w:r w:rsidR="00BD2B05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Por su parte, </w:t>
            </w:r>
            <w:proofErr w:type="spellStart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Lag</w:t>
            </w:r>
            <w:proofErr w:type="spellEnd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-Llama es un modelo fundacional de propósito general para la predicción probabilística de series de tiempo</w:t>
            </w:r>
            <w:r w:rsidR="00564954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de una variable</w:t>
            </w:r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, basado en una arquitectura </w:t>
            </w:r>
            <w:proofErr w:type="spellStart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Transformer</w:t>
            </w:r>
            <w:proofErr w:type="spellEnd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tipo </w:t>
            </w:r>
            <w:proofErr w:type="spellStart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decoder-only</w:t>
            </w:r>
            <w:proofErr w:type="spellEnd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. Está </w:t>
            </w:r>
            <w:proofErr w:type="spellStart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preentrenado</w:t>
            </w:r>
            <w:proofErr w:type="spellEnd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sobre un amplio conjunto de series temporales de distintos dominios y ha demostrado una alta capacidad de generalización </w:t>
            </w:r>
            <w:proofErr w:type="spellStart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zero-shot</w:t>
            </w:r>
            <w:proofErr w:type="spellEnd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y </w:t>
            </w:r>
            <w:proofErr w:type="spellStart"/>
            <w:r w:rsidR="006E5788" w:rsidRP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few-shot</w:t>
            </w:r>
            <w:proofErr w:type="spellEnd"/>
            <w:r w:rsidR="006E57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hyperlink r:id="rId10" w:history="1">
              <w:r w:rsidR="008D7256" w:rsidRPr="008D7256">
                <w:rPr>
                  <w:rStyle w:val="Hipervnculo"/>
                  <w:rFonts w:ascii="Aptos Narrow" w:hAnsi="Aptos Narrow"/>
                  <w:sz w:val="22"/>
                  <w:szCs w:val="22"/>
                  <w:lang w:val="es-ES"/>
                </w:rPr>
                <w:t>[3]</w:t>
              </w:r>
            </w:hyperlink>
            <w:r w:rsidR="006D18C0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.</w:t>
            </w:r>
          </w:p>
          <w:p w14:paraId="45C21F2D" w14:textId="5C7564EE" w:rsidR="0078511A" w:rsidRPr="00F86EB8" w:rsidRDefault="0078511A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lastRenderedPageBreak/>
              <w:t>La evaluación se llevó a cabo utilizando ventanas deslizantes de longitud 32</w:t>
            </w:r>
            <w:r w:rsidR="00730C2F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del </w:t>
            </w:r>
            <w:proofErr w:type="spellStart"/>
            <w:r w:rsidR="00730C2F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dataset</w:t>
            </w:r>
            <w:proofErr w:type="spellEnd"/>
            <w:r w:rsidR="00730C2F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de precipitación acumulada mensual</w:t>
            </w: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, aplicadas a la serie continua más extensa de cada estación meteorológica. Los conjuntos de entrenamiento y prueba se dividieron en proporciones 80/20 respetando el orden temporal, y la predicción se realizó para el valor siguiente a cada ventana.</w:t>
            </w:r>
            <w:r w:rsidR="00C372F1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Los modelos entrenados se exportaron en formato </w:t>
            </w:r>
            <w:proofErr w:type="spellStart"/>
            <w:r w:rsidR="00C372F1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json</w:t>
            </w:r>
            <w:proofErr w:type="spellEnd"/>
            <w:r w:rsidR="00C372F1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y </w:t>
            </w:r>
            <w:proofErr w:type="spellStart"/>
            <w:r w:rsidR="00C372F1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keras</w:t>
            </w:r>
            <w:proofErr w:type="spellEnd"/>
            <w:r w:rsidR="00C372F1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.</w:t>
            </w:r>
          </w:p>
          <w:p w14:paraId="4332E740" w14:textId="77777777" w:rsidR="0078511A" w:rsidRPr="00F86EB8" w:rsidRDefault="0078511A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</w:p>
          <w:p w14:paraId="0FFFB8B4" w14:textId="7D2FA949" w:rsidR="00BA2111" w:rsidRPr="00A149FC" w:rsidRDefault="0078511A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Las métricas utilizadas fueron</w:t>
            </w:r>
            <w:r w:rsidR="00333600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Root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Mean Square Error (RMSE), Mean Absolute Error (MAE),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Forecast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Mean Error (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Bias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),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Fractional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Bias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(FB), Nash-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Sutcliffe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Efficiency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(NSE),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Forecast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Activity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(FA),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Observation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Activity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(OA), and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Anomaly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Correlation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(AC)</w:t>
            </w:r>
            <w:r w:rsidR="007A0A19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sobre los valores absolutos medido</w:t>
            </w:r>
            <w:r w:rsid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s en </w:t>
            </w:r>
            <w:proofErr w:type="spellStart"/>
            <w:r w:rsid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mm</w:t>
            </w:r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.</w:t>
            </w:r>
            <w:proofErr w:type="spellEnd"/>
            <w:r w:rsidR="00EA58B7" w:rsidRPr="007A0A1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F86EB8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La climatología mensual de cada estación meteorológica se descargó desde el portal oficial del IDEAM, correspondiente al periodo de referencia 1991–2020.</w:t>
            </w:r>
            <w:r w:rsidR="00A149FC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A149FC" w:rsidRPr="00A149FC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Además, se empleó un proceso de categorización basado en percentiles de la precipitación observada para facilitar la interpretación de los resultados mediante matrices de confusión. </w:t>
            </w:r>
            <w:r w:rsidR="00FE7ECE" w:rsidRPr="00A149FC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E</w:t>
            </w:r>
            <w:r w:rsidR="00FE7ECE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specíficamente</w:t>
            </w:r>
            <w:r w:rsidR="00A149FC" w:rsidRPr="00A149FC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, se calcularon los percentiles P20, P50, P80, P95 y P99 sobre los datos observados, y se establecieron umbrales de clasificación utilizando los siguientes intervalos: [-∞, 3 mm], seguido por los valores de los percentiles y un límite superior (+∞).</w:t>
            </w:r>
          </w:p>
          <w:p w14:paraId="7ED32969" w14:textId="77777777" w:rsidR="00BA2111" w:rsidRPr="00F86EB8" w:rsidRDefault="00BA2111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</w:p>
          <w:p w14:paraId="12DE5D4A" w14:textId="05E8AA6B" w:rsidR="0078511A" w:rsidRPr="00F86EB8" w:rsidRDefault="0078511A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La implementación se desarrolló en Python dentro del entorno </w:t>
            </w:r>
            <w:proofErr w:type="spellStart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Jupyter</w:t>
            </w:r>
            <w:proofErr w:type="spellEnd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Notebooks</w:t>
            </w:r>
            <w:r w:rsidR="004D5B7B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. </w:t>
            </w:r>
            <w:r w:rsidR="00CA556A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Se crearon los notebooks</w:t>
            </w: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proofErr w:type="gramStart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training.ipynb</w:t>
            </w:r>
            <w:proofErr w:type="spellEnd"/>
            <w:proofErr w:type="gramEnd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y </w:t>
            </w:r>
            <w:proofErr w:type="spellStart"/>
            <w:proofErr w:type="gramStart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evaluation.ipynb</w:t>
            </w:r>
            <w:proofErr w:type="spellEnd"/>
            <w:proofErr w:type="gramEnd"/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.</w:t>
            </w:r>
          </w:p>
          <w:p w14:paraId="77ADADF4" w14:textId="77777777" w:rsidR="0078511A" w:rsidRPr="00F86EB8" w:rsidRDefault="0078511A" w:rsidP="0078511A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  <w:p w14:paraId="3E32EB3E" w14:textId="5CF7742E" w:rsidR="00DC1BA5" w:rsidRDefault="0078511A" w:rsidP="007A64DC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  <w:r w:rsidRPr="007A64DC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A continuación, se resumen los resultados de entrenamiento y evaluación para cada modelo:</w:t>
            </w:r>
          </w:p>
          <w:p w14:paraId="324AE9CA" w14:textId="77777777" w:rsidR="00F8324F" w:rsidRDefault="00F8324F" w:rsidP="00F8324F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</w:p>
          <w:p w14:paraId="1A3CA0AF" w14:textId="69DA9A77" w:rsidR="004733A4" w:rsidRPr="00F8324F" w:rsidRDefault="00F8324F" w:rsidP="00F8324F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 w:rsidRPr="00F8324F"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</w:rPr>
              <w:t>Tabla 1.</w:t>
            </w:r>
            <w:r w:rsidRPr="00F8324F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Métricas de evaluación de los modelos de pronóstico de precipitación acumulada.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42"/>
              <w:gridCol w:w="996"/>
              <w:gridCol w:w="996"/>
              <w:gridCol w:w="1068"/>
              <w:gridCol w:w="918"/>
              <w:gridCol w:w="756"/>
              <w:gridCol w:w="996"/>
              <w:gridCol w:w="996"/>
              <w:gridCol w:w="756"/>
            </w:tblGrid>
            <w:tr w:rsidR="004733A4" w14:paraId="7EAABA34" w14:textId="77777777" w:rsidTr="001801AC">
              <w:trPr>
                <w:jc w:val="center"/>
              </w:trPr>
              <w:tc>
                <w:tcPr>
                  <w:tcW w:w="1642" w:type="dxa"/>
                  <w:vAlign w:val="center"/>
                  <w:hideMark/>
                </w:tcPr>
                <w:p w14:paraId="594D4AC3" w14:textId="77777777" w:rsidR="004733A4" w:rsidRDefault="004733A4" w:rsidP="001801AC">
                  <w:pPr>
                    <w:pStyle w:val="p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Modelo</w:t>
                  </w:r>
                </w:p>
              </w:tc>
              <w:tc>
                <w:tcPr>
                  <w:tcW w:w="996" w:type="dxa"/>
                  <w:vAlign w:val="center"/>
                  <w:hideMark/>
                </w:tcPr>
                <w:p w14:paraId="0539EF5D" w14:textId="77777777" w:rsidR="004733A4" w:rsidRDefault="004733A4" w:rsidP="001801AC">
                  <w:pPr>
                    <w:pStyle w:val="p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RMSE</w:t>
                  </w:r>
                </w:p>
              </w:tc>
              <w:tc>
                <w:tcPr>
                  <w:tcW w:w="996" w:type="dxa"/>
                  <w:vAlign w:val="center"/>
                  <w:hideMark/>
                </w:tcPr>
                <w:p w14:paraId="1AA07211" w14:textId="77777777" w:rsidR="004733A4" w:rsidRDefault="004733A4" w:rsidP="001801AC">
                  <w:pPr>
                    <w:pStyle w:val="p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MAE</w:t>
                  </w:r>
                </w:p>
              </w:tc>
              <w:tc>
                <w:tcPr>
                  <w:tcW w:w="1068" w:type="dxa"/>
                  <w:vAlign w:val="center"/>
                  <w:hideMark/>
                </w:tcPr>
                <w:p w14:paraId="1844C142" w14:textId="77777777" w:rsidR="004733A4" w:rsidRDefault="004733A4" w:rsidP="001801AC">
                  <w:pPr>
                    <w:pStyle w:val="p1"/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Bias</w:t>
                  </w:r>
                  <w:proofErr w:type="spellEnd"/>
                </w:p>
              </w:tc>
              <w:tc>
                <w:tcPr>
                  <w:tcW w:w="918" w:type="dxa"/>
                  <w:vAlign w:val="center"/>
                  <w:hideMark/>
                </w:tcPr>
                <w:p w14:paraId="20B6B49B" w14:textId="77777777" w:rsidR="004733A4" w:rsidRDefault="004733A4" w:rsidP="001801AC">
                  <w:pPr>
                    <w:pStyle w:val="p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B578E" w14:textId="77777777" w:rsidR="004733A4" w:rsidRDefault="004733A4" w:rsidP="001801AC">
                  <w:pPr>
                    <w:pStyle w:val="p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AB3BC" w14:textId="77777777" w:rsidR="004733A4" w:rsidRDefault="004733A4" w:rsidP="001801AC">
                  <w:pPr>
                    <w:pStyle w:val="p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EE0245" w14:textId="77777777" w:rsidR="004733A4" w:rsidRDefault="004733A4" w:rsidP="001801AC">
                  <w:pPr>
                    <w:pStyle w:val="p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D9FC24" w14:textId="77777777" w:rsidR="004733A4" w:rsidRDefault="004733A4" w:rsidP="001801AC">
                  <w:pPr>
                    <w:pStyle w:val="p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</w:t>
                  </w:r>
                </w:p>
              </w:tc>
            </w:tr>
            <w:tr w:rsidR="004733A4" w14:paraId="2587A094" w14:textId="77777777" w:rsidTr="001801AC">
              <w:trPr>
                <w:jc w:val="center"/>
              </w:trPr>
              <w:tc>
                <w:tcPr>
                  <w:tcW w:w="1642" w:type="dxa"/>
                  <w:vAlign w:val="center"/>
                  <w:hideMark/>
                </w:tcPr>
                <w:p w14:paraId="76B667E1" w14:textId="77777777" w:rsidR="004733A4" w:rsidRDefault="004733A4" w:rsidP="001801AC">
                  <w:pPr>
                    <w:pStyle w:val="p1"/>
                    <w:jc w:val="center"/>
                  </w:pPr>
                  <w:proofErr w:type="spellStart"/>
                  <w:r>
                    <w:t>XGBoost</w:t>
                  </w:r>
                  <w:proofErr w:type="spellEnd"/>
                </w:p>
              </w:tc>
              <w:tc>
                <w:tcPr>
                  <w:tcW w:w="996" w:type="dxa"/>
                  <w:vAlign w:val="center"/>
                  <w:hideMark/>
                </w:tcPr>
                <w:p w14:paraId="4EBC20D8" w14:textId="77777777" w:rsidR="004733A4" w:rsidRDefault="004733A4" w:rsidP="001801AC">
                  <w:pPr>
                    <w:pStyle w:val="p1"/>
                    <w:jc w:val="center"/>
                  </w:pPr>
                  <w:r>
                    <w:t>103.608</w:t>
                  </w:r>
                </w:p>
              </w:tc>
              <w:tc>
                <w:tcPr>
                  <w:tcW w:w="996" w:type="dxa"/>
                  <w:vAlign w:val="center"/>
                  <w:hideMark/>
                </w:tcPr>
                <w:p w14:paraId="2244CCEC" w14:textId="77777777" w:rsidR="004733A4" w:rsidRDefault="004733A4" w:rsidP="001801AC">
                  <w:pPr>
                    <w:pStyle w:val="p1"/>
                    <w:jc w:val="center"/>
                  </w:pPr>
                  <w:r>
                    <w:t>70.041</w:t>
                  </w:r>
                </w:p>
              </w:tc>
              <w:tc>
                <w:tcPr>
                  <w:tcW w:w="1068" w:type="dxa"/>
                  <w:vAlign w:val="center"/>
                  <w:hideMark/>
                </w:tcPr>
                <w:p w14:paraId="44763407" w14:textId="77777777" w:rsidR="004733A4" w:rsidRDefault="004733A4" w:rsidP="001801AC">
                  <w:pPr>
                    <w:pStyle w:val="p1"/>
                    <w:jc w:val="center"/>
                  </w:pPr>
                  <w:r>
                    <w:t>3.231</w:t>
                  </w:r>
                </w:p>
              </w:tc>
              <w:tc>
                <w:tcPr>
                  <w:tcW w:w="918" w:type="dxa"/>
                  <w:vAlign w:val="center"/>
                  <w:hideMark/>
                </w:tcPr>
                <w:p w14:paraId="05B6D686" w14:textId="77777777" w:rsidR="004733A4" w:rsidRDefault="004733A4" w:rsidP="001801AC">
                  <w:pPr>
                    <w:pStyle w:val="p1"/>
                    <w:jc w:val="center"/>
                  </w:pPr>
                  <w:r>
                    <w:t>0.016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08E52" w14:textId="77777777" w:rsidR="004733A4" w:rsidRDefault="004733A4" w:rsidP="001801AC">
                  <w:pPr>
                    <w:pStyle w:val="p1"/>
                    <w:jc w:val="center"/>
                  </w:pPr>
                  <w:r>
                    <w:t>0.651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0D01A" w14:textId="77777777" w:rsidR="004733A4" w:rsidRDefault="004733A4" w:rsidP="001801AC">
                  <w:pPr>
                    <w:pStyle w:val="p1"/>
                    <w:jc w:val="center"/>
                  </w:pPr>
                  <w:r>
                    <w:t>67.725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C805D" w14:textId="77777777" w:rsidR="004733A4" w:rsidRDefault="004733A4" w:rsidP="001801AC">
                  <w:pPr>
                    <w:pStyle w:val="p1"/>
                    <w:jc w:val="center"/>
                  </w:pPr>
                  <w:r>
                    <w:t>110.874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5407C" w14:textId="77777777" w:rsidR="004733A4" w:rsidRDefault="004733A4" w:rsidP="001801AC">
                  <w:pPr>
                    <w:pStyle w:val="p1"/>
                    <w:jc w:val="center"/>
                  </w:pPr>
                  <w:r>
                    <w:t>0.410</w:t>
                  </w:r>
                </w:p>
              </w:tc>
            </w:tr>
            <w:tr w:rsidR="004733A4" w14:paraId="6F64EE23" w14:textId="77777777" w:rsidTr="001801AC">
              <w:trPr>
                <w:jc w:val="center"/>
              </w:trPr>
              <w:tc>
                <w:tcPr>
                  <w:tcW w:w="1642" w:type="dxa"/>
                  <w:vAlign w:val="center"/>
                  <w:hideMark/>
                </w:tcPr>
                <w:p w14:paraId="5F2804D6" w14:textId="77777777" w:rsidR="004733A4" w:rsidRDefault="004733A4" w:rsidP="001801AC">
                  <w:pPr>
                    <w:pStyle w:val="p1"/>
                    <w:jc w:val="center"/>
                  </w:pPr>
                  <w:r>
                    <w:t>LSTM</w:t>
                  </w:r>
                </w:p>
              </w:tc>
              <w:tc>
                <w:tcPr>
                  <w:tcW w:w="996" w:type="dxa"/>
                  <w:vAlign w:val="center"/>
                  <w:hideMark/>
                </w:tcPr>
                <w:p w14:paraId="1D4E72FD" w14:textId="77777777" w:rsidR="004733A4" w:rsidRDefault="004733A4" w:rsidP="001801AC">
                  <w:pPr>
                    <w:pStyle w:val="p1"/>
                    <w:jc w:val="center"/>
                  </w:pPr>
                  <w:r>
                    <w:t>107.665</w:t>
                  </w:r>
                </w:p>
              </w:tc>
              <w:tc>
                <w:tcPr>
                  <w:tcW w:w="996" w:type="dxa"/>
                  <w:vAlign w:val="center"/>
                  <w:hideMark/>
                </w:tcPr>
                <w:p w14:paraId="659E274E" w14:textId="77777777" w:rsidR="004733A4" w:rsidRDefault="004733A4" w:rsidP="001801AC">
                  <w:pPr>
                    <w:pStyle w:val="p1"/>
                    <w:jc w:val="center"/>
                  </w:pPr>
                  <w:r>
                    <w:t>73.222</w:t>
                  </w:r>
                </w:p>
              </w:tc>
              <w:tc>
                <w:tcPr>
                  <w:tcW w:w="1068" w:type="dxa"/>
                  <w:vAlign w:val="center"/>
                  <w:hideMark/>
                </w:tcPr>
                <w:p w14:paraId="7F56BB8A" w14:textId="77777777" w:rsidR="004733A4" w:rsidRDefault="004733A4" w:rsidP="001801AC">
                  <w:pPr>
                    <w:pStyle w:val="p1"/>
                    <w:jc w:val="center"/>
                  </w:pPr>
                  <w:r>
                    <w:t>2.161</w:t>
                  </w:r>
                </w:p>
              </w:tc>
              <w:tc>
                <w:tcPr>
                  <w:tcW w:w="918" w:type="dxa"/>
                  <w:vAlign w:val="center"/>
                  <w:hideMark/>
                </w:tcPr>
                <w:p w14:paraId="3D65A607" w14:textId="77777777" w:rsidR="004733A4" w:rsidRDefault="004733A4" w:rsidP="001801AC">
                  <w:pPr>
                    <w:pStyle w:val="p1"/>
                    <w:jc w:val="center"/>
                  </w:pPr>
                  <w:r>
                    <w:t>0.011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F2EFC" w14:textId="77777777" w:rsidR="004733A4" w:rsidRDefault="004733A4" w:rsidP="001801AC">
                  <w:pPr>
                    <w:pStyle w:val="p1"/>
                    <w:jc w:val="center"/>
                  </w:pPr>
                  <w:r>
                    <w:t>0.623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A6E96" w14:textId="77777777" w:rsidR="004733A4" w:rsidRDefault="004733A4" w:rsidP="001801AC">
                  <w:pPr>
                    <w:pStyle w:val="p1"/>
                    <w:jc w:val="center"/>
                  </w:pPr>
                  <w:r>
                    <w:t>68.659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13FB2" w14:textId="77777777" w:rsidR="004733A4" w:rsidRDefault="004733A4" w:rsidP="001801AC">
                  <w:pPr>
                    <w:pStyle w:val="p1"/>
                    <w:jc w:val="center"/>
                  </w:pPr>
                  <w:r>
                    <w:t>110.874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8542EB" w14:textId="77777777" w:rsidR="004733A4" w:rsidRDefault="004733A4" w:rsidP="001801AC">
                  <w:pPr>
                    <w:pStyle w:val="p1"/>
                    <w:jc w:val="center"/>
                  </w:pPr>
                  <w:r>
                    <w:t>0.356</w:t>
                  </w:r>
                </w:p>
              </w:tc>
            </w:tr>
            <w:tr w:rsidR="004733A4" w14:paraId="4EF63F9A" w14:textId="77777777" w:rsidTr="001801AC">
              <w:trPr>
                <w:jc w:val="center"/>
              </w:trPr>
              <w:tc>
                <w:tcPr>
                  <w:tcW w:w="1642" w:type="dxa"/>
                  <w:vAlign w:val="center"/>
                  <w:hideMark/>
                </w:tcPr>
                <w:p w14:paraId="0E109A79" w14:textId="77777777" w:rsidR="004733A4" w:rsidRDefault="004733A4" w:rsidP="001801AC">
                  <w:pPr>
                    <w:pStyle w:val="p1"/>
                    <w:jc w:val="center"/>
                  </w:pPr>
                  <w:proofErr w:type="spellStart"/>
                  <w:r>
                    <w:t>BiLSTM</w:t>
                  </w:r>
                  <w:proofErr w:type="spellEnd"/>
                </w:p>
              </w:tc>
              <w:tc>
                <w:tcPr>
                  <w:tcW w:w="996" w:type="dxa"/>
                  <w:vAlign w:val="center"/>
                  <w:hideMark/>
                </w:tcPr>
                <w:p w14:paraId="2E02BAB2" w14:textId="77777777" w:rsidR="004733A4" w:rsidRDefault="004733A4" w:rsidP="001801AC">
                  <w:pPr>
                    <w:pStyle w:val="p1"/>
                    <w:jc w:val="center"/>
                  </w:pPr>
                  <w:r>
                    <w:t>107.453</w:t>
                  </w:r>
                </w:p>
              </w:tc>
              <w:tc>
                <w:tcPr>
                  <w:tcW w:w="996" w:type="dxa"/>
                  <w:vAlign w:val="center"/>
                  <w:hideMark/>
                </w:tcPr>
                <w:p w14:paraId="39C114FB" w14:textId="77777777" w:rsidR="004733A4" w:rsidRDefault="004733A4" w:rsidP="001801AC">
                  <w:pPr>
                    <w:pStyle w:val="p1"/>
                    <w:jc w:val="center"/>
                  </w:pPr>
                  <w:r>
                    <w:t>73.366</w:t>
                  </w:r>
                </w:p>
              </w:tc>
              <w:tc>
                <w:tcPr>
                  <w:tcW w:w="1068" w:type="dxa"/>
                  <w:vAlign w:val="center"/>
                  <w:hideMark/>
                </w:tcPr>
                <w:p w14:paraId="3F4EC49D" w14:textId="77777777" w:rsidR="004733A4" w:rsidRDefault="004733A4" w:rsidP="001801AC">
                  <w:pPr>
                    <w:pStyle w:val="p1"/>
                    <w:jc w:val="center"/>
                  </w:pPr>
                  <w:r>
                    <w:t>2.884</w:t>
                  </w:r>
                </w:p>
              </w:tc>
              <w:tc>
                <w:tcPr>
                  <w:tcW w:w="918" w:type="dxa"/>
                  <w:vAlign w:val="center"/>
                  <w:hideMark/>
                </w:tcPr>
                <w:p w14:paraId="4BD9964C" w14:textId="77777777" w:rsidR="004733A4" w:rsidRDefault="004733A4" w:rsidP="001801AC">
                  <w:pPr>
                    <w:pStyle w:val="p1"/>
                    <w:jc w:val="center"/>
                  </w:pPr>
                  <w:r>
                    <w:t>0.015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7C496" w14:textId="77777777" w:rsidR="004733A4" w:rsidRDefault="004733A4" w:rsidP="001801AC">
                  <w:pPr>
                    <w:pStyle w:val="p1"/>
                    <w:jc w:val="center"/>
                  </w:pPr>
                  <w:r>
                    <w:t>0.625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EDACAC" w14:textId="77777777" w:rsidR="004733A4" w:rsidRDefault="004733A4" w:rsidP="001801AC">
                  <w:pPr>
                    <w:pStyle w:val="p1"/>
                    <w:jc w:val="center"/>
                  </w:pPr>
                  <w:r>
                    <w:t>68.194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617D4" w14:textId="77777777" w:rsidR="004733A4" w:rsidRDefault="004733A4" w:rsidP="001801AC">
                  <w:pPr>
                    <w:pStyle w:val="p1"/>
                    <w:jc w:val="center"/>
                  </w:pPr>
                  <w:r>
                    <w:t>110.874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CCF596" w14:textId="77777777" w:rsidR="004733A4" w:rsidRDefault="004733A4" w:rsidP="001801AC">
                  <w:pPr>
                    <w:pStyle w:val="p1"/>
                    <w:jc w:val="center"/>
                  </w:pPr>
                  <w:r>
                    <w:t>0.357</w:t>
                  </w:r>
                </w:p>
              </w:tc>
            </w:tr>
            <w:tr w:rsidR="004733A4" w14:paraId="1B457620" w14:textId="77777777" w:rsidTr="001801AC">
              <w:trPr>
                <w:jc w:val="center"/>
              </w:trPr>
              <w:tc>
                <w:tcPr>
                  <w:tcW w:w="1642" w:type="dxa"/>
                  <w:vAlign w:val="center"/>
                  <w:hideMark/>
                </w:tcPr>
                <w:p w14:paraId="57F2D50E" w14:textId="77777777" w:rsidR="004733A4" w:rsidRDefault="004733A4" w:rsidP="001801AC">
                  <w:pPr>
                    <w:pStyle w:val="p1"/>
                    <w:jc w:val="center"/>
                  </w:pPr>
                  <w:proofErr w:type="spellStart"/>
                  <w:r>
                    <w:t>SBiLSTM</w:t>
                  </w:r>
                  <w:proofErr w:type="spellEnd"/>
                </w:p>
              </w:tc>
              <w:tc>
                <w:tcPr>
                  <w:tcW w:w="996" w:type="dxa"/>
                  <w:vAlign w:val="center"/>
                  <w:hideMark/>
                </w:tcPr>
                <w:p w14:paraId="19E45953" w14:textId="77777777" w:rsidR="004733A4" w:rsidRDefault="004733A4" w:rsidP="001801AC">
                  <w:pPr>
                    <w:pStyle w:val="p1"/>
                    <w:jc w:val="center"/>
                  </w:pPr>
                  <w:r>
                    <w:t>107.830</w:t>
                  </w:r>
                </w:p>
              </w:tc>
              <w:tc>
                <w:tcPr>
                  <w:tcW w:w="996" w:type="dxa"/>
                  <w:vAlign w:val="center"/>
                  <w:hideMark/>
                </w:tcPr>
                <w:p w14:paraId="68437375" w14:textId="77777777" w:rsidR="004733A4" w:rsidRDefault="004733A4" w:rsidP="001801AC">
                  <w:pPr>
                    <w:pStyle w:val="p1"/>
                    <w:jc w:val="center"/>
                  </w:pPr>
                  <w:r>
                    <w:t>73.558</w:t>
                  </w:r>
                </w:p>
              </w:tc>
              <w:tc>
                <w:tcPr>
                  <w:tcW w:w="1068" w:type="dxa"/>
                  <w:vAlign w:val="center"/>
                  <w:hideMark/>
                </w:tcPr>
                <w:p w14:paraId="7EB13315" w14:textId="77777777" w:rsidR="004733A4" w:rsidRDefault="004733A4" w:rsidP="001801AC">
                  <w:pPr>
                    <w:pStyle w:val="p1"/>
                    <w:jc w:val="center"/>
                  </w:pPr>
                  <w:r>
                    <w:t>0.863</w:t>
                  </w:r>
                </w:p>
              </w:tc>
              <w:tc>
                <w:tcPr>
                  <w:tcW w:w="918" w:type="dxa"/>
                  <w:vAlign w:val="center"/>
                  <w:hideMark/>
                </w:tcPr>
                <w:p w14:paraId="6F0195D3" w14:textId="77777777" w:rsidR="004733A4" w:rsidRDefault="004733A4" w:rsidP="001801AC">
                  <w:pPr>
                    <w:pStyle w:val="p1"/>
                    <w:jc w:val="center"/>
                  </w:pPr>
                  <w:r>
                    <w:t>0.004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DC0C1" w14:textId="77777777" w:rsidR="004733A4" w:rsidRDefault="004733A4" w:rsidP="001801AC">
                  <w:pPr>
                    <w:pStyle w:val="p1"/>
                    <w:jc w:val="center"/>
                  </w:pPr>
                  <w:r>
                    <w:t>0.622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884C2" w14:textId="77777777" w:rsidR="004733A4" w:rsidRDefault="004733A4" w:rsidP="001801AC">
                  <w:pPr>
                    <w:pStyle w:val="p1"/>
                    <w:jc w:val="center"/>
                  </w:pPr>
                  <w:r>
                    <w:t>66.431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49B562" w14:textId="77777777" w:rsidR="004733A4" w:rsidRDefault="004733A4" w:rsidP="001801AC">
                  <w:pPr>
                    <w:pStyle w:val="p1"/>
                    <w:jc w:val="center"/>
                  </w:pPr>
                  <w:r>
                    <w:t>110.874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C03F33" w14:textId="77777777" w:rsidR="004733A4" w:rsidRDefault="004733A4" w:rsidP="001801AC">
                  <w:pPr>
                    <w:pStyle w:val="p1"/>
                    <w:jc w:val="center"/>
                  </w:pPr>
                  <w:r>
                    <w:t>0.345</w:t>
                  </w:r>
                </w:p>
              </w:tc>
            </w:tr>
            <w:tr w:rsidR="00EA62AE" w14:paraId="51BCCB01" w14:textId="77777777" w:rsidTr="001801AC">
              <w:trPr>
                <w:jc w:val="center"/>
              </w:trPr>
              <w:tc>
                <w:tcPr>
                  <w:tcW w:w="1642" w:type="dxa"/>
                  <w:vAlign w:val="center"/>
                </w:tcPr>
                <w:p w14:paraId="01AE8813" w14:textId="207E3228" w:rsidR="00EA62AE" w:rsidRDefault="00EA62AE" w:rsidP="001801AC">
                  <w:pPr>
                    <w:pStyle w:val="p1"/>
                    <w:jc w:val="center"/>
                  </w:pPr>
                  <w:r>
                    <w:t>CEEMDAN-VMD-</w:t>
                  </w:r>
                  <w:proofErr w:type="spellStart"/>
                  <w:r>
                    <w:t>BiLSTM</w:t>
                  </w:r>
                  <w:proofErr w:type="spellEnd"/>
                </w:p>
              </w:tc>
              <w:tc>
                <w:tcPr>
                  <w:tcW w:w="996" w:type="dxa"/>
                  <w:vAlign w:val="center"/>
                </w:tcPr>
                <w:p w14:paraId="1FA6F5CE" w14:textId="2456EDEB" w:rsidR="00EA62AE" w:rsidRDefault="00EA62AE" w:rsidP="001801AC">
                  <w:pPr>
                    <w:pStyle w:val="p1"/>
                    <w:jc w:val="center"/>
                  </w:pPr>
                  <w:r>
                    <w:t>153.401</w:t>
                  </w:r>
                </w:p>
              </w:tc>
              <w:tc>
                <w:tcPr>
                  <w:tcW w:w="996" w:type="dxa"/>
                  <w:vAlign w:val="center"/>
                </w:tcPr>
                <w:p w14:paraId="63309C74" w14:textId="35F20B7E" w:rsidR="00EA62AE" w:rsidRDefault="00EA62AE" w:rsidP="001801AC">
                  <w:pPr>
                    <w:pStyle w:val="p1"/>
                    <w:jc w:val="center"/>
                  </w:pPr>
                  <w:r>
                    <w:t>109.265</w:t>
                  </w:r>
                </w:p>
              </w:tc>
              <w:tc>
                <w:tcPr>
                  <w:tcW w:w="1068" w:type="dxa"/>
                  <w:vAlign w:val="center"/>
                </w:tcPr>
                <w:p w14:paraId="5AEEFCF5" w14:textId="21AFA051" w:rsidR="00EA62AE" w:rsidRDefault="00EA62AE" w:rsidP="001801AC">
                  <w:pPr>
                    <w:pStyle w:val="p1"/>
                    <w:jc w:val="center"/>
                  </w:pPr>
                  <w:r>
                    <w:t>1.246</w:t>
                  </w:r>
                </w:p>
              </w:tc>
              <w:tc>
                <w:tcPr>
                  <w:tcW w:w="918" w:type="dxa"/>
                  <w:vAlign w:val="center"/>
                </w:tcPr>
                <w:p w14:paraId="1D6B35A6" w14:textId="69A5F819" w:rsidR="00EA62AE" w:rsidRDefault="00EA62AE" w:rsidP="001801AC">
                  <w:pPr>
                    <w:pStyle w:val="p1"/>
                    <w:jc w:val="center"/>
                  </w:pPr>
                  <w:r>
                    <w:t>0.006</w:t>
                  </w:r>
                </w:p>
              </w:tc>
              <w:tc>
                <w:tcPr>
                  <w:tcW w:w="0" w:type="auto"/>
                  <w:vAlign w:val="center"/>
                </w:tcPr>
                <w:p w14:paraId="34F5D156" w14:textId="1F2BCB86" w:rsidR="00EA62AE" w:rsidRDefault="00EA62AE" w:rsidP="001801AC">
                  <w:pPr>
                    <w:pStyle w:val="p1"/>
                    <w:jc w:val="center"/>
                  </w:pPr>
                  <w:r>
                    <w:t>0.261</w:t>
                  </w:r>
                </w:p>
              </w:tc>
              <w:tc>
                <w:tcPr>
                  <w:tcW w:w="0" w:type="auto"/>
                  <w:vAlign w:val="center"/>
                </w:tcPr>
                <w:p w14:paraId="556C9447" w14:textId="6E2B917E" w:rsidR="00EA62AE" w:rsidRDefault="00EA62AE" w:rsidP="001801AC">
                  <w:pPr>
                    <w:pStyle w:val="p1"/>
                    <w:jc w:val="center"/>
                  </w:pPr>
                  <w:r>
                    <w:t>130.336</w:t>
                  </w:r>
                </w:p>
              </w:tc>
              <w:tc>
                <w:tcPr>
                  <w:tcW w:w="0" w:type="auto"/>
                  <w:vAlign w:val="center"/>
                </w:tcPr>
                <w:p w14:paraId="41813EEF" w14:textId="1879895C" w:rsidR="00EA62AE" w:rsidRDefault="00EA62AE" w:rsidP="001801AC">
                  <w:pPr>
                    <w:pStyle w:val="p1"/>
                    <w:jc w:val="center"/>
                  </w:pPr>
                  <w:r>
                    <w:t>113.089</w:t>
                  </w:r>
                </w:p>
              </w:tc>
              <w:tc>
                <w:tcPr>
                  <w:tcW w:w="0" w:type="auto"/>
                  <w:vAlign w:val="center"/>
                </w:tcPr>
                <w:p w14:paraId="16583A2F" w14:textId="09974832" w:rsidR="00EA62AE" w:rsidRDefault="00EA62AE" w:rsidP="001801AC">
                  <w:pPr>
                    <w:pStyle w:val="p1"/>
                    <w:jc w:val="center"/>
                  </w:pPr>
                  <w:r>
                    <w:t>0.212</w:t>
                  </w:r>
                </w:p>
              </w:tc>
            </w:tr>
            <w:tr w:rsidR="00EA62AE" w14:paraId="53E3C317" w14:textId="77777777" w:rsidTr="001801AC">
              <w:trPr>
                <w:jc w:val="center"/>
              </w:trPr>
              <w:tc>
                <w:tcPr>
                  <w:tcW w:w="1642" w:type="dxa"/>
                  <w:vAlign w:val="center"/>
                  <w:hideMark/>
                </w:tcPr>
                <w:p w14:paraId="52D160FF" w14:textId="77777777" w:rsidR="00EA62AE" w:rsidRDefault="00EA62AE" w:rsidP="001801AC">
                  <w:pPr>
                    <w:pStyle w:val="p1"/>
                    <w:jc w:val="center"/>
                  </w:pPr>
                  <w:proofErr w:type="spellStart"/>
                  <w:r>
                    <w:t>Lag</w:t>
                  </w:r>
                  <w:proofErr w:type="spellEnd"/>
                  <w:r>
                    <w:t>-Llama</w:t>
                  </w:r>
                </w:p>
              </w:tc>
              <w:tc>
                <w:tcPr>
                  <w:tcW w:w="996" w:type="dxa"/>
                  <w:vAlign w:val="center"/>
                  <w:hideMark/>
                </w:tcPr>
                <w:p w14:paraId="4582F964" w14:textId="77777777" w:rsidR="00EA62AE" w:rsidRDefault="00EA62AE" w:rsidP="001801AC">
                  <w:pPr>
                    <w:pStyle w:val="p1"/>
                    <w:jc w:val="center"/>
                  </w:pPr>
                  <w:r>
                    <w:t>160.492</w:t>
                  </w:r>
                </w:p>
              </w:tc>
              <w:tc>
                <w:tcPr>
                  <w:tcW w:w="996" w:type="dxa"/>
                  <w:vAlign w:val="center"/>
                  <w:hideMark/>
                </w:tcPr>
                <w:p w14:paraId="4CA65A9A" w14:textId="77777777" w:rsidR="00EA62AE" w:rsidRDefault="00EA62AE" w:rsidP="001801AC">
                  <w:pPr>
                    <w:pStyle w:val="p1"/>
                    <w:jc w:val="center"/>
                  </w:pPr>
                  <w:r>
                    <w:t>110.485</w:t>
                  </w:r>
                </w:p>
              </w:tc>
              <w:tc>
                <w:tcPr>
                  <w:tcW w:w="1068" w:type="dxa"/>
                  <w:vAlign w:val="center"/>
                  <w:hideMark/>
                </w:tcPr>
                <w:p w14:paraId="24EEA7A7" w14:textId="77777777" w:rsidR="00EA62AE" w:rsidRDefault="00EA62AE" w:rsidP="001801AC">
                  <w:pPr>
                    <w:pStyle w:val="p1"/>
                    <w:jc w:val="center"/>
                  </w:pPr>
                  <w:r>
                    <w:t>-21.609</w:t>
                  </w:r>
                </w:p>
              </w:tc>
              <w:tc>
                <w:tcPr>
                  <w:tcW w:w="918" w:type="dxa"/>
                  <w:vAlign w:val="center"/>
                  <w:hideMark/>
                </w:tcPr>
                <w:p w14:paraId="72A2861C" w14:textId="77777777" w:rsidR="00EA62AE" w:rsidRDefault="00EA62AE" w:rsidP="001801AC">
                  <w:pPr>
                    <w:pStyle w:val="p1"/>
                    <w:jc w:val="center"/>
                  </w:pPr>
                  <w:r>
                    <w:t>-0.115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D535" w14:textId="77777777" w:rsidR="00EA62AE" w:rsidRDefault="00EA62AE" w:rsidP="001801AC">
                  <w:pPr>
                    <w:pStyle w:val="p1"/>
                    <w:jc w:val="center"/>
                  </w:pPr>
                  <w:r>
                    <w:t>0.202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347D0" w14:textId="77777777" w:rsidR="00EA62AE" w:rsidRDefault="00EA62AE" w:rsidP="001801AC">
                  <w:pPr>
                    <w:pStyle w:val="p1"/>
                    <w:jc w:val="center"/>
                  </w:pPr>
                  <w:r>
                    <w:t>132.202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6F68A" w14:textId="77777777" w:rsidR="00EA62AE" w:rsidRDefault="00EA62AE" w:rsidP="001801AC">
                  <w:pPr>
                    <w:pStyle w:val="p1"/>
                    <w:jc w:val="center"/>
                  </w:pPr>
                  <w:r>
                    <w:t>114.306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2CEF44" w14:textId="77777777" w:rsidR="00EA62AE" w:rsidRDefault="00EA62AE" w:rsidP="001801AC">
                  <w:pPr>
                    <w:pStyle w:val="p1"/>
                    <w:jc w:val="center"/>
                  </w:pPr>
                  <w:r>
                    <w:t>0.174</w:t>
                  </w:r>
                </w:p>
              </w:tc>
            </w:tr>
          </w:tbl>
          <w:p w14:paraId="0565D0DF" w14:textId="77777777" w:rsidR="004244DB" w:rsidRDefault="004244DB" w:rsidP="00064C77">
            <w:pPr>
              <w:pStyle w:val="Standard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</w:p>
          <w:p w14:paraId="7FD73A87" w14:textId="6932B9F6" w:rsidR="003D68DC" w:rsidRDefault="008272DD" w:rsidP="003D68DC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  <w:r w:rsidRPr="000003B1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A</w:t>
            </w:r>
            <w:r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demás</w:t>
            </w:r>
            <w:r w:rsidR="000003B1" w:rsidRPr="000003B1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, se presentan las gráficas que soportan los resultados mencionados anteriormente</w:t>
            </w:r>
            <w:r w:rsidR="003D68DC" w:rsidRPr="007A64DC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14:paraId="25EC932F" w14:textId="2D1099AC" w:rsidR="003D68DC" w:rsidRPr="00F86EB8" w:rsidRDefault="00B75803" w:rsidP="00064C77">
            <w:pPr>
              <w:pStyle w:val="Standard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Aptos Narrow" w:hAnsi="Aptos Narrow"/>
                <w:noProof/>
                <w:color w:val="000000" w:themeColor="text1"/>
                <w:sz w:val="22"/>
                <w:szCs w:val="22"/>
                <w:lang w:val="es-ES"/>
              </w:rPr>
              <w:lastRenderedPageBreak/>
              <w:drawing>
                <wp:inline distT="0" distB="0" distL="0" distR="0" wp14:anchorId="6FEAE23E" wp14:editId="26F2ACC1">
                  <wp:extent cx="2862469" cy="2247467"/>
                  <wp:effectExtent l="0" t="0" r="0" b="635"/>
                  <wp:docPr id="4952484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248496" name="Imagen 49524849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237" cy="2322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 Narrow" w:hAnsi="Aptos Narrow"/>
                <w:noProof/>
                <w:color w:val="000000" w:themeColor="text1"/>
                <w:sz w:val="22"/>
                <w:szCs w:val="22"/>
                <w:lang w:val="es-ES"/>
              </w:rPr>
              <w:drawing>
                <wp:inline distT="0" distB="0" distL="0" distR="0" wp14:anchorId="58D87D14" wp14:editId="1CEF6497">
                  <wp:extent cx="2799495" cy="2198023"/>
                  <wp:effectExtent l="0" t="0" r="0" b="0"/>
                  <wp:docPr id="66622017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220179" name="Imagen 66622017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246" cy="22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 Narrow" w:hAnsi="Aptos Narrow"/>
                <w:noProof/>
                <w:color w:val="000000" w:themeColor="text1"/>
                <w:sz w:val="22"/>
                <w:szCs w:val="22"/>
                <w:lang w:val="es-ES"/>
              </w:rPr>
              <w:drawing>
                <wp:inline distT="0" distB="0" distL="0" distR="0" wp14:anchorId="36B57EE7" wp14:editId="51FAC89F">
                  <wp:extent cx="2876102" cy="2258170"/>
                  <wp:effectExtent l="0" t="0" r="0" b="2540"/>
                  <wp:docPr id="175945610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456107" name="Imagen 175945610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401" cy="230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 Narrow" w:hAnsi="Aptos Narrow"/>
                <w:noProof/>
                <w:color w:val="000000" w:themeColor="text1"/>
                <w:sz w:val="22"/>
                <w:szCs w:val="22"/>
                <w:lang w:val="es-ES"/>
              </w:rPr>
              <w:drawing>
                <wp:inline distT="0" distB="0" distL="0" distR="0" wp14:anchorId="3EE79247" wp14:editId="203FFDDD">
                  <wp:extent cx="2875915" cy="2258024"/>
                  <wp:effectExtent l="0" t="0" r="0" b="3175"/>
                  <wp:docPr id="202897443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974435" name="Imagen 202897443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086" cy="227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 Narrow" w:hAnsi="Aptos Narrow"/>
                <w:noProof/>
                <w:color w:val="000000" w:themeColor="text1"/>
                <w:sz w:val="22"/>
                <w:szCs w:val="22"/>
                <w:lang w:val="es-ES"/>
              </w:rPr>
              <w:drawing>
                <wp:inline distT="0" distB="0" distL="0" distR="0" wp14:anchorId="00AE7FD3" wp14:editId="49997C3D">
                  <wp:extent cx="2875915" cy="2258024"/>
                  <wp:effectExtent l="0" t="0" r="0" b="3175"/>
                  <wp:docPr id="134114793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147930" name="Imagen 134114793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664" cy="228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 Narrow" w:hAnsi="Aptos Narrow"/>
                <w:noProof/>
                <w:color w:val="000000" w:themeColor="text1"/>
                <w:sz w:val="22"/>
                <w:szCs w:val="22"/>
                <w:lang w:val="es-ES"/>
              </w:rPr>
              <w:drawing>
                <wp:inline distT="0" distB="0" distL="0" distR="0" wp14:anchorId="70E414F4" wp14:editId="7AC09823">
                  <wp:extent cx="2913332" cy="2258143"/>
                  <wp:effectExtent l="0" t="0" r="0" b="2540"/>
                  <wp:docPr id="571440502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440502" name="Imagen 57144050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206" cy="226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8637D" w14:textId="7E286924" w:rsidR="00DC0076" w:rsidRDefault="006E370F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Figura 1. Matrices de confusión normalizadas para los modelos de pronóstico de precipitación acumulada. De izquierda a derecha y de arriba hacia abajo, se presentan los resultados para: (1) </w:t>
            </w:r>
            <w:proofErr w:type="spellStart"/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>XGBoost</w:t>
            </w:r>
            <w:proofErr w:type="spellEnd"/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(fila 1, columna 1), (2) LSTM (fila 1, columna 2), (3) </w:t>
            </w:r>
            <w:proofErr w:type="spellStart"/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>BiLSTM</w:t>
            </w:r>
            <w:proofErr w:type="spellEnd"/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(fila 2, columna 1), (4) </w:t>
            </w:r>
            <w:proofErr w:type="spellStart"/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>SBiLSTM</w:t>
            </w:r>
            <w:proofErr w:type="spellEnd"/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(fila 2, columna 2), (5) CEEMDAN-VMD-</w:t>
            </w:r>
            <w:proofErr w:type="spellStart"/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>BiLSTM</w:t>
            </w:r>
            <w:proofErr w:type="spellEnd"/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(fila 3, columna 1) y (6) </w:t>
            </w:r>
            <w:proofErr w:type="spellStart"/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>Lag</w:t>
            </w:r>
            <w:proofErr w:type="spellEnd"/>
            <w:r w:rsidRPr="006E370F">
              <w:rPr>
                <w:rFonts w:ascii="Aptos Narrow" w:hAnsi="Aptos Narrow"/>
                <w:color w:val="000000" w:themeColor="text1"/>
                <w:sz w:val="22"/>
                <w:szCs w:val="22"/>
              </w:rPr>
              <w:t>-Llama (fila 3, columna 2).</w:t>
            </w:r>
          </w:p>
          <w:p w14:paraId="6F450DDC" w14:textId="77777777" w:rsidR="0000337D" w:rsidRDefault="0000337D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</w:p>
          <w:p w14:paraId="1018654E" w14:textId="77777777" w:rsidR="002037E3" w:rsidRDefault="002037E3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>
              <w:rPr>
                <w:rFonts w:ascii="Aptos Narrow" w:hAnsi="Aptos Narrow"/>
                <w:noProof/>
                <w:color w:val="000000" w:themeColor="text1"/>
                <w:sz w:val="22"/>
                <w:szCs w:val="22"/>
              </w:rPr>
              <w:lastRenderedPageBreak/>
              <w:drawing>
                <wp:inline distT="0" distB="0" distL="0" distR="0" wp14:anchorId="03CB1417" wp14:editId="61D0FE5E">
                  <wp:extent cx="5608982" cy="2778124"/>
                  <wp:effectExtent l="0" t="0" r="4445" b="3810"/>
                  <wp:docPr id="60394670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946705" name="Imagen 60394670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75" cy="278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2560B" w14:textId="1781919C" w:rsidR="002037E3" w:rsidRDefault="002037E3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>
              <w:rPr>
                <w:rFonts w:ascii="Aptos Narrow" w:hAnsi="Aptos Narrow"/>
                <w:color w:val="000000" w:themeColor="text1"/>
                <w:sz w:val="22"/>
                <w:szCs w:val="22"/>
              </w:rPr>
              <w:t>Figura 2.</w:t>
            </w:r>
            <w:r w:rsid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</w:t>
            </w:r>
            <w:r w:rsidR="0095712A" w:rsidRP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>Predicci</w:t>
            </w:r>
            <w:r w:rsid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>o</w:t>
            </w:r>
            <w:r w:rsidR="0095712A" w:rsidRP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>n</w:t>
            </w:r>
            <w:r w:rsid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>es</w:t>
            </w:r>
            <w:r w:rsidR="0095712A" w:rsidRP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vs. </w:t>
            </w:r>
            <w:r w:rsidR="00843694">
              <w:rPr>
                <w:rFonts w:ascii="Aptos Narrow" w:hAnsi="Aptos Narrow"/>
                <w:color w:val="000000" w:themeColor="text1"/>
                <w:sz w:val="22"/>
                <w:szCs w:val="22"/>
              </w:rPr>
              <w:t>o</w:t>
            </w:r>
            <w:r w:rsidR="0095712A" w:rsidRP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>bservaci</w:t>
            </w:r>
            <w:r w:rsid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>o</w:t>
            </w:r>
            <w:r w:rsidR="0095712A" w:rsidRP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>n</w:t>
            </w:r>
            <w:r w:rsid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>es</w:t>
            </w:r>
            <w:r w:rsidR="0095712A" w:rsidRP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en una muestra aleatoria de 250 </w:t>
            </w:r>
            <w:r w:rsidR="00135730">
              <w:rPr>
                <w:rFonts w:ascii="Aptos Narrow" w:hAnsi="Aptos Narrow"/>
                <w:color w:val="000000" w:themeColor="text1"/>
                <w:sz w:val="22"/>
                <w:szCs w:val="22"/>
              </w:rPr>
              <w:t>meses</w:t>
            </w:r>
            <w:r w:rsid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</w:t>
            </w:r>
            <w:r w:rsidR="00135730">
              <w:rPr>
                <w:rFonts w:ascii="Aptos Narrow" w:hAnsi="Aptos Narrow"/>
                <w:color w:val="000000" w:themeColor="text1"/>
                <w:sz w:val="22"/>
                <w:szCs w:val="22"/>
              </w:rPr>
              <w:t>del</w:t>
            </w:r>
            <w:r w:rsidR="006A1CED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conjuntos de datos de prueba utilizando el</w:t>
            </w:r>
            <w:r w:rsidR="00174316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</w:t>
            </w:r>
            <w:r w:rsid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modelo </w:t>
            </w:r>
            <w:proofErr w:type="spellStart"/>
            <w:r w:rsid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>XGBoost</w:t>
            </w:r>
            <w:proofErr w:type="spellEnd"/>
            <w:r w:rsidR="0095712A">
              <w:rPr>
                <w:rFonts w:ascii="Aptos Narrow" w:hAnsi="Aptos Narrow"/>
                <w:color w:val="000000" w:themeColor="text1"/>
                <w:sz w:val="22"/>
                <w:szCs w:val="22"/>
              </w:rPr>
              <w:t>.</w:t>
            </w:r>
          </w:p>
          <w:p w14:paraId="08B62F04" w14:textId="77777777" w:rsidR="0000337D" w:rsidRDefault="002037E3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>
              <w:rPr>
                <w:rFonts w:ascii="Aptos Narrow" w:hAnsi="Aptos Narrow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5D7100A" wp14:editId="036C7A1A">
                  <wp:extent cx="5704370" cy="4191238"/>
                  <wp:effectExtent l="0" t="0" r="0" b="0"/>
                  <wp:docPr id="21587845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878453" name="Imagen 21587845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915" cy="428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3B0FA" w14:textId="608FD72A" w:rsidR="0053558D" w:rsidRDefault="0053558D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Figura 3: </w:t>
            </w:r>
            <w:r w:rsidRPr="0053558D">
              <w:rPr>
                <w:rFonts w:ascii="Aptos Narrow" w:hAnsi="Aptos Narrow"/>
                <w:color w:val="000000" w:themeColor="text1"/>
                <w:sz w:val="22"/>
                <w:szCs w:val="22"/>
              </w:rPr>
              <w:t>Diagrama de dispersión</w:t>
            </w:r>
            <w:r w:rsidR="00E806DF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de</w:t>
            </w:r>
            <w:r w:rsidR="006A1CED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l conjunto de </w:t>
            </w:r>
            <w:r w:rsidR="00E806DF">
              <w:rPr>
                <w:rFonts w:ascii="Aptos Narrow" w:hAnsi="Aptos Narrow"/>
                <w:color w:val="000000" w:themeColor="text1"/>
                <w:sz w:val="22"/>
                <w:szCs w:val="22"/>
              </w:rPr>
              <w:t>datos de prueba</w:t>
            </w:r>
            <w:r w:rsidR="00565865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</w:t>
            </w:r>
            <w:r w:rsidR="006A1CED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utilizando el </w:t>
            </w:r>
            <w:r w:rsidR="00565865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modelo </w:t>
            </w:r>
            <w:proofErr w:type="spellStart"/>
            <w:r w:rsidR="00565865">
              <w:rPr>
                <w:rFonts w:ascii="Aptos Narrow" w:hAnsi="Aptos Narrow"/>
                <w:color w:val="000000" w:themeColor="text1"/>
                <w:sz w:val="22"/>
                <w:szCs w:val="22"/>
              </w:rPr>
              <w:t>XGBoost</w:t>
            </w:r>
            <w:proofErr w:type="spellEnd"/>
            <w:r w:rsidR="00E806DF">
              <w:rPr>
                <w:rFonts w:ascii="Aptos Narrow" w:hAnsi="Aptos Narrow"/>
                <w:color w:val="000000" w:themeColor="text1"/>
                <w:sz w:val="22"/>
                <w:szCs w:val="22"/>
              </w:rPr>
              <w:t>.</w:t>
            </w:r>
          </w:p>
          <w:p w14:paraId="347800B9" w14:textId="77777777" w:rsidR="00E806DF" w:rsidRDefault="00E806DF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</w:p>
          <w:p w14:paraId="266D75E9" w14:textId="5D3F9958" w:rsidR="00BB0D7D" w:rsidRPr="006E370F" w:rsidRDefault="00BB0D7D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</w:p>
        </w:tc>
      </w:tr>
      <w:tr w:rsidR="004D11F3" w:rsidRPr="00F86EB8" w14:paraId="72EEAC6A" w14:textId="77777777" w:rsidTr="00301DF6">
        <w:tc>
          <w:tcPr>
            <w:tcW w:w="9350" w:type="dxa"/>
          </w:tcPr>
          <w:p w14:paraId="7E0D5678" w14:textId="1A61052B" w:rsidR="00F52F80" w:rsidRPr="00F86EB8" w:rsidRDefault="004D11F3" w:rsidP="00301DF6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  <w:lastRenderedPageBreak/>
              <w:t xml:space="preserve">ACTIVIDADES REALIZADAS: </w:t>
            </w:r>
          </w:p>
          <w:p w14:paraId="552D2249" w14:textId="77777777" w:rsidR="00D330A7" w:rsidRPr="00F86EB8" w:rsidRDefault="00D330A7" w:rsidP="00301DF6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  <w:p w14:paraId="7B71F70B" w14:textId="71ADC1A5" w:rsidR="009026FB" w:rsidRPr="00F86EB8" w:rsidRDefault="009A618F" w:rsidP="00784F0A">
            <w:pPr>
              <w:pStyle w:val="Standard"/>
              <w:numPr>
                <w:ilvl w:val="0"/>
                <w:numId w:val="46"/>
              </w:numPr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Se </w:t>
            </w:r>
            <w:r w:rsidR="009026FB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desarrolló el script “</w:t>
            </w:r>
            <w:proofErr w:type="spellStart"/>
            <w:proofErr w:type="gramStart"/>
            <w:r w:rsidR="0015330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training</w:t>
            </w:r>
            <w:r w:rsidR="009026FB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.ipynb</w:t>
            </w:r>
            <w:proofErr w:type="spellEnd"/>
            <w:proofErr w:type="gramEnd"/>
            <w:r w:rsidR="009026FB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” </w:t>
            </w:r>
            <w:r w:rsidR="00516C48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para</w:t>
            </w:r>
            <w:r w:rsidR="00516C4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516C48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la</w:t>
            </w:r>
            <w:r w:rsidR="00516C4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28251F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ingeniería</w:t>
            </w:r>
            <w:r w:rsidR="00516C4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y entrenamiento de los modelos</w:t>
            </w:r>
            <w:r w:rsidR="00FC49DD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.</w:t>
            </w:r>
          </w:p>
          <w:p w14:paraId="64276199" w14:textId="40C8CCD2" w:rsidR="00D330A7" w:rsidRPr="00F86EB8" w:rsidRDefault="009026FB" w:rsidP="00784F0A">
            <w:pPr>
              <w:pStyle w:val="Standard"/>
              <w:numPr>
                <w:ilvl w:val="0"/>
                <w:numId w:val="46"/>
              </w:numPr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Se desarroll</w:t>
            </w:r>
            <w:r w:rsidR="00AE5D4A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ó</w:t>
            </w: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el script “</w:t>
            </w:r>
            <w:proofErr w:type="spellStart"/>
            <w:proofErr w:type="gramStart"/>
            <w:r w:rsidR="0015330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evaluation</w:t>
            </w:r>
            <w:r w:rsidR="00CA6210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.</w:t>
            </w:r>
            <w:r w:rsidR="00C5267F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ipynb</w:t>
            </w:r>
            <w:proofErr w:type="spellEnd"/>
            <w:proofErr w:type="gramEnd"/>
            <w:r w:rsidR="00C5267F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” para la </w:t>
            </w:r>
            <w:r w:rsidR="00153309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evaluación de los modelos</w:t>
            </w:r>
            <w:r w:rsidR="00C5267F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.</w:t>
            </w:r>
            <w:r w:rsidR="009A29E2"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</w:p>
          <w:p w14:paraId="1B464C6D" w14:textId="1FB4DE00" w:rsidR="00FC49DD" w:rsidRPr="00F86EB8" w:rsidRDefault="00FC49DD" w:rsidP="00FC49DD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="00021AD7" w:rsidRPr="00F86EB8" w14:paraId="281CA9DE" w14:textId="77777777" w:rsidTr="00301DF6">
        <w:tc>
          <w:tcPr>
            <w:tcW w:w="9350" w:type="dxa"/>
          </w:tcPr>
          <w:p w14:paraId="44DB3212" w14:textId="53FE4BDB" w:rsidR="00021AD7" w:rsidRPr="00F86EB8" w:rsidRDefault="00021AD7" w:rsidP="00301DF6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  <w:t>ENLACE:</w:t>
            </w: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hyperlink r:id="rId19" w:history="1">
              <w:proofErr w:type="gramStart"/>
              <w:r w:rsidR="00512358" w:rsidRPr="00F86EB8">
                <w:rPr>
                  <w:rStyle w:val="Hipervnculo"/>
                  <w:rFonts w:ascii="Aptos Narrow" w:hAnsi="Aptos Narrow"/>
                  <w:sz w:val="22"/>
                  <w:szCs w:val="22"/>
                  <w:lang w:val="es-ES"/>
                </w:rPr>
                <w:t>Repositorio  -</w:t>
              </w:r>
              <w:proofErr w:type="gramEnd"/>
              <w:r w:rsidR="00512358" w:rsidRPr="00F86EB8">
                <w:rPr>
                  <w:rStyle w:val="Hipervnculo"/>
                  <w:rFonts w:ascii="Aptos Narrow" w:hAnsi="Aptos Narrow"/>
                  <w:sz w:val="22"/>
                  <w:szCs w:val="22"/>
                  <w:lang w:val="es-ES"/>
                </w:rPr>
                <w:t xml:space="preserve"> GitHub</w:t>
              </w:r>
            </w:hyperlink>
          </w:p>
        </w:tc>
      </w:tr>
    </w:tbl>
    <w:p w14:paraId="233B1B18" w14:textId="77777777" w:rsidR="00573DB7" w:rsidRPr="00F86EB8" w:rsidRDefault="00573DB7" w:rsidP="00DA5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 Narrow" w:eastAsiaTheme="minorHAnsi" w:hAnsi="Aptos Narrow" w:cs="Arial Narrow"/>
          <w:i/>
          <w:iCs/>
          <w:color w:val="000000" w:themeColor="text1"/>
          <w:lang w:val="es-ES" w:eastAsia="en-US"/>
        </w:rPr>
      </w:pPr>
    </w:p>
    <w:p w14:paraId="1661EA8D" w14:textId="77777777" w:rsidR="00BC08C8" w:rsidRPr="00F86EB8" w:rsidRDefault="00BC08C8" w:rsidP="00017128">
      <w:pPr>
        <w:pStyle w:val="Standard"/>
        <w:jc w:val="both"/>
        <w:rPr>
          <w:rFonts w:ascii="Aptos Narrow" w:hAnsi="Aptos Narrow"/>
          <w:color w:val="000000" w:themeColor="text1"/>
          <w:sz w:val="22"/>
          <w:szCs w:val="22"/>
          <w:lang w:val="es-ES"/>
        </w:rPr>
      </w:pPr>
    </w:p>
    <w:p w14:paraId="6352A001" w14:textId="77777777" w:rsidR="00BC08C8" w:rsidRPr="00F86EB8" w:rsidRDefault="00BC08C8" w:rsidP="00017128">
      <w:pPr>
        <w:pStyle w:val="Standard"/>
        <w:jc w:val="both"/>
        <w:rPr>
          <w:rFonts w:ascii="Aptos Narrow" w:hAnsi="Aptos Narrow"/>
          <w:color w:val="000000" w:themeColor="text1"/>
          <w:sz w:val="22"/>
          <w:szCs w:val="22"/>
          <w:lang w:val="es-ES"/>
        </w:rPr>
      </w:pPr>
    </w:p>
    <w:p w14:paraId="118A42C8" w14:textId="77777777" w:rsidR="00BC08C8" w:rsidRPr="00F86EB8" w:rsidRDefault="00BC08C8" w:rsidP="00017128">
      <w:pPr>
        <w:pStyle w:val="Standard"/>
        <w:jc w:val="both"/>
        <w:rPr>
          <w:rFonts w:ascii="Aptos Narrow" w:hAnsi="Aptos Narrow"/>
          <w:color w:val="000000" w:themeColor="text1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40" w:rsidRPr="00F86EB8" w14:paraId="645ECB46" w14:textId="77777777" w:rsidTr="00E30240">
        <w:tc>
          <w:tcPr>
            <w:tcW w:w="4675" w:type="dxa"/>
          </w:tcPr>
          <w:p w14:paraId="6712C348" w14:textId="77777777" w:rsidR="00E30240" w:rsidRPr="00F86EB8" w:rsidRDefault="00E30240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3F253B54" w14:textId="77777777" w:rsidR="00BC08C8" w:rsidRPr="00F86EB8" w:rsidRDefault="00BC08C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14C4A26B" w14:textId="77777777" w:rsidR="006572B8" w:rsidRPr="00F86EB8" w:rsidRDefault="006572B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4DE26D54" w14:textId="77777777" w:rsidR="00BC08C8" w:rsidRPr="00F86EB8" w:rsidRDefault="00BC08C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500E554F" w14:textId="77777777" w:rsidR="006572B8" w:rsidRPr="00F86EB8" w:rsidRDefault="006572B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hAnsi="Aptos Narrow"/>
                <w:color w:val="000000" w:themeColor="text1"/>
                <w:lang w:val="es-ES"/>
              </w:rPr>
              <w:t xml:space="preserve">Jorge Eliecer Camargo Mendoza </w:t>
            </w:r>
          </w:p>
          <w:p w14:paraId="362A9799" w14:textId="4557B02C" w:rsidR="00BC08C8" w:rsidRPr="00F86EB8" w:rsidRDefault="00855313" w:rsidP="00BF58BE">
            <w:pPr>
              <w:jc w:val="both"/>
              <w:rPr>
                <w:rFonts w:ascii="Aptos Narrow" w:hAnsi="Aptos Narrow"/>
                <w:b/>
                <w:bCs/>
                <w:color w:val="000000" w:themeColor="text1"/>
                <w:lang w:val="es-ES"/>
              </w:rPr>
            </w:pPr>
            <w:r w:rsidRPr="00F86EB8">
              <w:rPr>
                <w:rFonts w:ascii="Aptos Narrow" w:hAnsi="Aptos Narrow"/>
                <w:b/>
                <w:bCs/>
                <w:color w:val="000000" w:themeColor="text1"/>
                <w:lang w:val="es-ES"/>
              </w:rPr>
              <w:t>Director</w:t>
            </w:r>
          </w:p>
        </w:tc>
        <w:tc>
          <w:tcPr>
            <w:tcW w:w="4675" w:type="dxa"/>
          </w:tcPr>
          <w:p w14:paraId="1665867F" w14:textId="77777777" w:rsidR="00E30240" w:rsidRPr="00F86EB8" w:rsidRDefault="00E30240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5E619269" w14:textId="77777777" w:rsidR="006572B8" w:rsidRPr="00F86EB8" w:rsidRDefault="006572B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51F5BE36" w14:textId="77777777" w:rsidR="006572B8" w:rsidRPr="00F86EB8" w:rsidRDefault="006572B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16D7B3C2" w14:textId="77777777" w:rsidR="006572B8" w:rsidRPr="00F86EB8" w:rsidRDefault="006572B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47122169" w14:textId="61F49DF9" w:rsidR="006572B8" w:rsidRPr="00F86EB8" w:rsidRDefault="006572B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hAnsi="Aptos Narrow"/>
                <w:color w:val="000000" w:themeColor="text1"/>
                <w:lang w:val="es-ES"/>
              </w:rPr>
              <w:t>Juan Diego Mogollón Oviedo</w:t>
            </w:r>
          </w:p>
          <w:p w14:paraId="1B068667" w14:textId="43A5141B" w:rsidR="00855313" w:rsidRPr="00F86EB8" w:rsidRDefault="00855313" w:rsidP="00BF58BE">
            <w:pPr>
              <w:jc w:val="both"/>
              <w:rPr>
                <w:rFonts w:ascii="Aptos Narrow" w:hAnsi="Aptos Narrow"/>
                <w:b/>
                <w:bCs/>
                <w:color w:val="000000" w:themeColor="text1"/>
                <w:lang w:val="es-ES"/>
              </w:rPr>
            </w:pPr>
            <w:r w:rsidRPr="00F86EB8">
              <w:rPr>
                <w:rFonts w:ascii="Aptos Narrow" w:hAnsi="Aptos Narrow"/>
                <w:b/>
                <w:bCs/>
                <w:color w:val="000000" w:themeColor="text1"/>
                <w:lang w:val="es-ES"/>
              </w:rPr>
              <w:t>Estudiante</w:t>
            </w:r>
          </w:p>
        </w:tc>
      </w:tr>
    </w:tbl>
    <w:p w14:paraId="4BB20375" w14:textId="77777777" w:rsidR="00BC08C8" w:rsidRPr="00F86EB8" w:rsidRDefault="00BC08C8" w:rsidP="00BF58BE">
      <w:pPr>
        <w:jc w:val="both"/>
        <w:rPr>
          <w:rFonts w:ascii="Aptos Narrow" w:hAnsi="Aptos Narrow"/>
          <w:color w:val="000000" w:themeColor="text1"/>
          <w:lang w:val="es-ES"/>
        </w:rPr>
      </w:pPr>
    </w:p>
    <w:sectPr w:rsidR="00BC08C8" w:rsidRPr="00F86EB8" w:rsidSect="00D20C8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89E0A" w14:textId="77777777" w:rsidR="002D47C1" w:rsidRDefault="002D47C1" w:rsidP="00044C95">
      <w:pPr>
        <w:spacing w:after="0" w:line="240" w:lineRule="auto"/>
      </w:pPr>
      <w:r>
        <w:separator/>
      </w:r>
    </w:p>
  </w:endnote>
  <w:endnote w:type="continuationSeparator" w:id="0">
    <w:p w14:paraId="03E76F68" w14:textId="77777777" w:rsidR="002D47C1" w:rsidRDefault="002D47C1" w:rsidP="00044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WenQuanYi Zen Hei Sharp"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variable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82070" w14:textId="77777777" w:rsidR="002D47C1" w:rsidRDefault="002D47C1" w:rsidP="00044C95">
      <w:pPr>
        <w:spacing w:after="0" w:line="240" w:lineRule="auto"/>
      </w:pPr>
      <w:r>
        <w:separator/>
      </w:r>
    </w:p>
  </w:footnote>
  <w:footnote w:type="continuationSeparator" w:id="0">
    <w:p w14:paraId="6521E5AE" w14:textId="77777777" w:rsidR="002D47C1" w:rsidRDefault="002D47C1" w:rsidP="00044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69"/>
      <w:gridCol w:w="5611"/>
    </w:tblGrid>
    <w:tr w:rsidR="00044C95" w14:paraId="2F4B31C0" w14:textId="77777777" w:rsidTr="00487649">
      <w:tc>
        <w:tcPr>
          <w:tcW w:w="3369" w:type="dxa"/>
          <w:vMerge w:val="restart"/>
          <w:shd w:val="clear" w:color="auto" w:fill="auto"/>
        </w:tcPr>
        <w:p w14:paraId="2D277A37" w14:textId="20D31A45" w:rsidR="00044C95" w:rsidRDefault="00B56888" w:rsidP="00044C95">
          <w:pPr>
            <w:pStyle w:val="Encabezado"/>
            <w:jc w:val="both"/>
            <w:rPr>
              <w:rFonts w:ascii="Arial" w:hAnsi="Arial" w:cs="Arial"/>
              <w:sz w:val="20"/>
              <w:szCs w:val="20"/>
              <w:lang w:val="es-MX"/>
            </w:rPr>
          </w:pPr>
          <w:r w:rsidRPr="005D77BD">
            <w:rPr>
              <w:rFonts w:ascii="Aptos Narrow" w:hAnsi="Aptos Narrow"/>
              <w:noProof/>
              <w:color w:val="000000" w:themeColor="text1"/>
            </w:rPr>
            <w:drawing>
              <wp:anchor distT="0" distB="0" distL="114300" distR="114300" simplePos="0" relativeHeight="251658240" behindDoc="0" locked="0" layoutInCell="1" allowOverlap="1" wp14:anchorId="783B3395" wp14:editId="1DB53782">
                <wp:simplePos x="0" y="0"/>
                <wp:positionH relativeFrom="column">
                  <wp:posOffset>-68580</wp:posOffset>
                </wp:positionH>
                <wp:positionV relativeFrom="paragraph">
                  <wp:posOffset>-131197</wp:posOffset>
                </wp:positionV>
                <wp:extent cx="1483121" cy="700157"/>
                <wp:effectExtent l="0" t="0" r="0" b="0"/>
                <wp:wrapNone/>
                <wp:docPr id="1443494641" name="Picture 2" descr="D:\ARCHIVOS MASTER EIV 2016\APLICACIONES\PRESENTACIONES PPT\LOGOSIMBOLO CON SEDE BOGOTA BLANCO-01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A8BBDF-97C9-44F9-2B51-5D8AE285A87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2" descr="D:\ARCHIVOS MASTER EIV 2016\APLICACIONES\PRESENTACIONES PPT\LOGOSIMBOLO CON SEDE BOGOTA BLANCO-01.png">
                          <a:extLst>
                            <a:ext uri="{FF2B5EF4-FFF2-40B4-BE49-F238E27FC236}">
                              <a16:creationId xmlns:a16="http://schemas.microsoft.com/office/drawing/2014/main" id="{9BA8BBDF-97C9-44F9-2B51-5D8AE285A878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3074"/>
                        <a:stretch/>
                      </pic:blipFill>
                      <pic:spPr bwMode="auto">
                        <a:xfrm>
                          <a:off x="0" y="0"/>
                          <a:ext cx="1488087" cy="70250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11" w:type="dxa"/>
          <w:shd w:val="clear" w:color="auto" w:fill="auto"/>
        </w:tcPr>
        <w:p w14:paraId="79ABF513" w14:textId="50EBC982" w:rsidR="00512358" w:rsidRDefault="00512358" w:rsidP="00512358">
          <w:pPr>
            <w:pStyle w:val="Encabezado"/>
            <w:jc w:val="right"/>
            <w:rPr>
              <w:rFonts w:ascii="Aptos Narrow" w:hAnsi="Aptos Narrow" w:cs="Arial"/>
              <w:color w:val="808080" w:themeColor="background1" w:themeShade="80"/>
              <w:lang w:val="es-MX"/>
            </w:rPr>
          </w:pPr>
          <w:r>
            <w:rPr>
              <w:rFonts w:ascii="Aptos Narrow" w:hAnsi="Aptos Narrow" w:cs="Arial"/>
              <w:color w:val="808080" w:themeColor="background1" w:themeShade="80"/>
              <w:lang w:val="es-MX"/>
            </w:rPr>
            <w:t>Maestría en Ingeniería de Sistemas y Computación</w:t>
          </w:r>
        </w:p>
        <w:p w14:paraId="5E8855AA" w14:textId="06D021C3" w:rsidR="00044C95" w:rsidRPr="00593A1B" w:rsidRDefault="00593A1B" w:rsidP="00593A1B">
          <w:pPr>
            <w:pStyle w:val="Encabezado"/>
            <w:jc w:val="right"/>
            <w:rPr>
              <w:rFonts w:ascii="Aptos Narrow" w:hAnsi="Aptos Narrow" w:cs="Arial"/>
              <w:color w:val="808080" w:themeColor="background1" w:themeShade="80"/>
              <w:lang w:val="es-MX"/>
            </w:rPr>
          </w:pPr>
          <w:r>
            <w:rPr>
              <w:rFonts w:ascii="Aptos Narrow" w:hAnsi="Aptos Narrow" w:cs="Arial"/>
              <w:color w:val="808080" w:themeColor="background1" w:themeShade="80"/>
              <w:lang w:val="es-MX"/>
            </w:rPr>
            <w:t>Departamento de Ingeniería de Sistemas e Industrial</w:t>
          </w:r>
        </w:p>
      </w:tc>
    </w:tr>
    <w:tr w:rsidR="00044C95" w14:paraId="0C83E2F6" w14:textId="77777777" w:rsidTr="00487649">
      <w:tc>
        <w:tcPr>
          <w:tcW w:w="3369" w:type="dxa"/>
          <w:vMerge/>
          <w:shd w:val="clear" w:color="auto" w:fill="auto"/>
        </w:tcPr>
        <w:p w14:paraId="72C0682A" w14:textId="77777777" w:rsidR="00044C95" w:rsidRDefault="00044C95" w:rsidP="00044C95">
          <w:pPr>
            <w:pStyle w:val="Encabezado"/>
            <w:snapToGrid w:val="0"/>
            <w:jc w:val="both"/>
            <w:rPr>
              <w:rFonts w:ascii="Arial" w:hAnsi="Arial" w:cs="Arial"/>
              <w:lang w:val="es-MX"/>
            </w:rPr>
          </w:pPr>
        </w:p>
      </w:tc>
      <w:tc>
        <w:tcPr>
          <w:tcW w:w="5611" w:type="dxa"/>
          <w:shd w:val="clear" w:color="auto" w:fill="auto"/>
        </w:tcPr>
        <w:p w14:paraId="5A691628" w14:textId="1DB3CA5C" w:rsidR="00044C95" w:rsidRPr="004365BC" w:rsidRDefault="00583D20" w:rsidP="00044C95">
          <w:pPr>
            <w:pStyle w:val="Encabezado"/>
            <w:jc w:val="right"/>
            <w:rPr>
              <w:rFonts w:ascii="Aptos Narrow" w:hAnsi="Aptos Narrow"/>
              <w:color w:val="808080" w:themeColor="background1" w:themeShade="80"/>
            </w:rPr>
          </w:pPr>
          <w:r>
            <w:rPr>
              <w:rFonts w:ascii="Aptos Narrow" w:hAnsi="Aptos Narrow" w:cs="Arial"/>
              <w:color w:val="808080" w:themeColor="background1" w:themeShade="80"/>
              <w:lang w:val="es-MX"/>
            </w:rPr>
            <w:t>Faculad de Ingeniería</w:t>
          </w:r>
        </w:p>
      </w:tc>
    </w:tr>
  </w:tbl>
  <w:p w14:paraId="1188F5EA" w14:textId="73F2D641" w:rsidR="00044C95" w:rsidRDefault="00044C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34F"/>
    <w:multiLevelType w:val="hybridMultilevel"/>
    <w:tmpl w:val="84423F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20F48"/>
    <w:multiLevelType w:val="hybridMultilevel"/>
    <w:tmpl w:val="D2B2A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309E"/>
    <w:multiLevelType w:val="hybridMultilevel"/>
    <w:tmpl w:val="67B05546"/>
    <w:lvl w:ilvl="0" w:tplc="7B9807CC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B6C"/>
    <w:multiLevelType w:val="hybridMultilevel"/>
    <w:tmpl w:val="5B5690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22610"/>
    <w:multiLevelType w:val="hybridMultilevel"/>
    <w:tmpl w:val="2F1C8D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D7FB2"/>
    <w:multiLevelType w:val="hybridMultilevel"/>
    <w:tmpl w:val="2E98F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50559"/>
    <w:multiLevelType w:val="hybridMultilevel"/>
    <w:tmpl w:val="93188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665ED"/>
    <w:multiLevelType w:val="hybridMultilevel"/>
    <w:tmpl w:val="FF8A0F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B6B6B"/>
    <w:multiLevelType w:val="hybridMultilevel"/>
    <w:tmpl w:val="93D605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07277"/>
    <w:multiLevelType w:val="hybridMultilevel"/>
    <w:tmpl w:val="F0F6CF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147CF4"/>
    <w:multiLevelType w:val="hybridMultilevel"/>
    <w:tmpl w:val="EB98E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5265E"/>
    <w:multiLevelType w:val="hybridMultilevel"/>
    <w:tmpl w:val="52B43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37482"/>
    <w:multiLevelType w:val="hybridMultilevel"/>
    <w:tmpl w:val="F5543E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253DB"/>
    <w:multiLevelType w:val="hybridMultilevel"/>
    <w:tmpl w:val="3FA894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D2A00"/>
    <w:multiLevelType w:val="hybridMultilevel"/>
    <w:tmpl w:val="4D9856CC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74963"/>
    <w:multiLevelType w:val="hybridMultilevel"/>
    <w:tmpl w:val="205E2C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BD7BEB"/>
    <w:multiLevelType w:val="hybridMultilevel"/>
    <w:tmpl w:val="515470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F2027E"/>
    <w:multiLevelType w:val="hybridMultilevel"/>
    <w:tmpl w:val="DC80BF8E"/>
    <w:lvl w:ilvl="0" w:tplc="8116AE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36FAD"/>
    <w:multiLevelType w:val="hybridMultilevel"/>
    <w:tmpl w:val="AB0C84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F4D8F"/>
    <w:multiLevelType w:val="hybridMultilevel"/>
    <w:tmpl w:val="33021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918A0"/>
    <w:multiLevelType w:val="hybridMultilevel"/>
    <w:tmpl w:val="AE928B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982D49"/>
    <w:multiLevelType w:val="hybridMultilevel"/>
    <w:tmpl w:val="15D05158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EF1711"/>
    <w:multiLevelType w:val="hybridMultilevel"/>
    <w:tmpl w:val="CE2298C8"/>
    <w:lvl w:ilvl="0" w:tplc="3AC27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8033D"/>
    <w:multiLevelType w:val="hybridMultilevel"/>
    <w:tmpl w:val="2B247FC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F53DA"/>
    <w:multiLevelType w:val="hybridMultilevel"/>
    <w:tmpl w:val="7834F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96613"/>
    <w:multiLevelType w:val="hybridMultilevel"/>
    <w:tmpl w:val="42DEA9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35862"/>
    <w:multiLevelType w:val="hybridMultilevel"/>
    <w:tmpl w:val="06F668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977D0D"/>
    <w:multiLevelType w:val="hybridMultilevel"/>
    <w:tmpl w:val="2E98F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742A1"/>
    <w:multiLevelType w:val="hybridMultilevel"/>
    <w:tmpl w:val="EEF248E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B5392"/>
    <w:multiLevelType w:val="hybridMultilevel"/>
    <w:tmpl w:val="38AA1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F55675"/>
    <w:multiLevelType w:val="hybridMultilevel"/>
    <w:tmpl w:val="93188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F521B"/>
    <w:multiLevelType w:val="hybridMultilevel"/>
    <w:tmpl w:val="DC4A98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878D8"/>
    <w:multiLevelType w:val="hybridMultilevel"/>
    <w:tmpl w:val="961E8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104C2"/>
    <w:multiLevelType w:val="hybridMultilevel"/>
    <w:tmpl w:val="F50A32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373EA"/>
    <w:multiLevelType w:val="hybridMultilevel"/>
    <w:tmpl w:val="ECDE9B0E"/>
    <w:lvl w:ilvl="0" w:tplc="314ED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67483"/>
    <w:multiLevelType w:val="hybridMultilevel"/>
    <w:tmpl w:val="B0CC02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F1CD4"/>
    <w:multiLevelType w:val="hybridMultilevel"/>
    <w:tmpl w:val="55C28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B9186B"/>
    <w:multiLevelType w:val="hybridMultilevel"/>
    <w:tmpl w:val="931884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B736E"/>
    <w:multiLevelType w:val="hybridMultilevel"/>
    <w:tmpl w:val="3CC824B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F0C36"/>
    <w:multiLevelType w:val="hybridMultilevel"/>
    <w:tmpl w:val="F1D623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F5DAF"/>
    <w:multiLevelType w:val="hybridMultilevel"/>
    <w:tmpl w:val="52DE7B8C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F0C9B"/>
    <w:multiLevelType w:val="hybridMultilevel"/>
    <w:tmpl w:val="3A8C5E3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0C0AE3"/>
    <w:multiLevelType w:val="hybridMultilevel"/>
    <w:tmpl w:val="F8D00A7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A11169"/>
    <w:multiLevelType w:val="hybridMultilevel"/>
    <w:tmpl w:val="E0B2B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55DBE"/>
    <w:multiLevelType w:val="hybridMultilevel"/>
    <w:tmpl w:val="5DB696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66191"/>
    <w:multiLevelType w:val="hybridMultilevel"/>
    <w:tmpl w:val="C6EE0C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E2617"/>
    <w:multiLevelType w:val="hybridMultilevel"/>
    <w:tmpl w:val="0A8E33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45881"/>
    <w:multiLevelType w:val="hybridMultilevel"/>
    <w:tmpl w:val="3502F6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9312">
    <w:abstractNumId w:val="38"/>
  </w:num>
  <w:num w:numId="2" w16cid:durableId="1057899298">
    <w:abstractNumId w:val="14"/>
  </w:num>
  <w:num w:numId="3" w16cid:durableId="294530092">
    <w:abstractNumId w:val="31"/>
  </w:num>
  <w:num w:numId="4" w16cid:durableId="907224302">
    <w:abstractNumId w:val="13"/>
  </w:num>
  <w:num w:numId="5" w16cid:durableId="1015495409">
    <w:abstractNumId w:val="23"/>
  </w:num>
  <w:num w:numId="6" w16cid:durableId="376702831">
    <w:abstractNumId w:val="3"/>
  </w:num>
  <w:num w:numId="7" w16cid:durableId="805049435">
    <w:abstractNumId w:val="22"/>
  </w:num>
  <w:num w:numId="8" w16cid:durableId="698969438">
    <w:abstractNumId w:val="12"/>
  </w:num>
  <w:num w:numId="9" w16cid:durableId="491483899">
    <w:abstractNumId w:val="1"/>
  </w:num>
  <w:num w:numId="10" w16cid:durableId="1347638417">
    <w:abstractNumId w:val="28"/>
  </w:num>
  <w:num w:numId="11" w16cid:durableId="1272281737">
    <w:abstractNumId w:val="40"/>
  </w:num>
  <w:num w:numId="12" w16cid:durableId="1622566347">
    <w:abstractNumId w:val="35"/>
  </w:num>
  <w:num w:numId="13" w16cid:durableId="1777554335">
    <w:abstractNumId w:val="2"/>
  </w:num>
  <w:num w:numId="14" w16cid:durableId="1252854593">
    <w:abstractNumId w:val="46"/>
  </w:num>
  <w:num w:numId="15" w16cid:durableId="911155234">
    <w:abstractNumId w:val="37"/>
  </w:num>
  <w:num w:numId="16" w16cid:durableId="414279554">
    <w:abstractNumId w:val="18"/>
  </w:num>
  <w:num w:numId="17" w16cid:durableId="781920278">
    <w:abstractNumId w:val="5"/>
  </w:num>
  <w:num w:numId="18" w16cid:durableId="187371390">
    <w:abstractNumId w:val="7"/>
  </w:num>
  <w:num w:numId="19" w16cid:durableId="1982999952">
    <w:abstractNumId w:val="16"/>
  </w:num>
  <w:num w:numId="20" w16cid:durableId="1260258470">
    <w:abstractNumId w:val="0"/>
  </w:num>
  <w:num w:numId="21" w16cid:durableId="882789975">
    <w:abstractNumId w:val="21"/>
  </w:num>
  <w:num w:numId="22" w16cid:durableId="175537656">
    <w:abstractNumId w:val="41"/>
  </w:num>
  <w:num w:numId="23" w16cid:durableId="1139148503">
    <w:abstractNumId w:val="15"/>
  </w:num>
  <w:num w:numId="24" w16cid:durableId="1330135842">
    <w:abstractNumId w:val="20"/>
  </w:num>
  <w:num w:numId="25" w16cid:durableId="1666546860">
    <w:abstractNumId w:val="9"/>
  </w:num>
  <w:num w:numId="26" w16cid:durableId="717974083">
    <w:abstractNumId w:val="27"/>
  </w:num>
  <w:num w:numId="27" w16cid:durableId="1960263526">
    <w:abstractNumId w:val="42"/>
  </w:num>
  <w:num w:numId="28" w16cid:durableId="482544079">
    <w:abstractNumId w:val="47"/>
  </w:num>
  <w:num w:numId="29" w16cid:durableId="1143079834">
    <w:abstractNumId w:val="6"/>
  </w:num>
  <w:num w:numId="30" w16cid:durableId="331496294">
    <w:abstractNumId w:val="30"/>
  </w:num>
  <w:num w:numId="31" w16cid:durableId="328868211">
    <w:abstractNumId w:val="43"/>
  </w:num>
  <w:num w:numId="32" w16cid:durableId="1390612434">
    <w:abstractNumId w:val="44"/>
  </w:num>
  <w:num w:numId="33" w16cid:durableId="184755387">
    <w:abstractNumId w:val="26"/>
  </w:num>
  <w:num w:numId="34" w16cid:durableId="1045638665">
    <w:abstractNumId w:val="17"/>
  </w:num>
  <w:num w:numId="35" w16cid:durableId="1452170970">
    <w:abstractNumId w:val="34"/>
  </w:num>
  <w:num w:numId="36" w16cid:durableId="1657296566">
    <w:abstractNumId w:val="36"/>
  </w:num>
  <w:num w:numId="37" w16cid:durableId="2122071294">
    <w:abstractNumId w:val="29"/>
  </w:num>
  <w:num w:numId="38" w16cid:durableId="1071006194">
    <w:abstractNumId w:val="19"/>
  </w:num>
  <w:num w:numId="39" w16cid:durableId="1636062864">
    <w:abstractNumId w:val="4"/>
  </w:num>
  <w:num w:numId="40" w16cid:durableId="1781140985">
    <w:abstractNumId w:val="8"/>
  </w:num>
  <w:num w:numId="41" w16cid:durableId="1264217485">
    <w:abstractNumId w:val="39"/>
  </w:num>
  <w:num w:numId="42" w16cid:durableId="1702244851">
    <w:abstractNumId w:val="33"/>
  </w:num>
  <w:num w:numId="43" w16cid:durableId="817721530">
    <w:abstractNumId w:val="32"/>
  </w:num>
  <w:num w:numId="44" w16cid:durableId="1801916494">
    <w:abstractNumId w:val="24"/>
  </w:num>
  <w:num w:numId="45" w16cid:durableId="15352586">
    <w:abstractNumId w:val="25"/>
  </w:num>
  <w:num w:numId="46" w16cid:durableId="1782870554">
    <w:abstractNumId w:val="11"/>
  </w:num>
  <w:num w:numId="47" w16cid:durableId="1551378768">
    <w:abstractNumId w:val="10"/>
  </w:num>
  <w:num w:numId="48" w16cid:durableId="62095783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F3"/>
    <w:rsid w:val="000003B1"/>
    <w:rsid w:val="0000337D"/>
    <w:rsid w:val="0001019B"/>
    <w:rsid w:val="00012F7F"/>
    <w:rsid w:val="00013772"/>
    <w:rsid w:val="00017128"/>
    <w:rsid w:val="00020A6F"/>
    <w:rsid w:val="00021AD7"/>
    <w:rsid w:val="00021FE7"/>
    <w:rsid w:val="000230C9"/>
    <w:rsid w:val="00024C1A"/>
    <w:rsid w:val="0003018D"/>
    <w:rsid w:val="0003431D"/>
    <w:rsid w:val="000345C3"/>
    <w:rsid w:val="00036CE7"/>
    <w:rsid w:val="00044C95"/>
    <w:rsid w:val="00050CF2"/>
    <w:rsid w:val="00052340"/>
    <w:rsid w:val="000523E5"/>
    <w:rsid w:val="00054995"/>
    <w:rsid w:val="0006179E"/>
    <w:rsid w:val="00064A98"/>
    <w:rsid w:val="00064C77"/>
    <w:rsid w:val="00065937"/>
    <w:rsid w:val="00065C47"/>
    <w:rsid w:val="00071CC9"/>
    <w:rsid w:val="00072805"/>
    <w:rsid w:val="00074E7F"/>
    <w:rsid w:val="00075259"/>
    <w:rsid w:val="00077BCE"/>
    <w:rsid w:val="00082F82"/>
    <w:rsid w:val="000835AE"/>
    <w:rsid w:val="00083DA1"/>
    <w:rsid w:val="00084713"/>
    <w:rsid w:val="00085794"/>
    <w:rsid w:val="00085DED"/>
    <w:rsid w:val="00091C2A"/>
    <w:rsid w:val="0009674D"/>
    <w:rsid w:val="000975BD"/>
    <w:rsid w:val="00097987"/>
    <w:rsid w:val="000A6B43"/>
    <w:rsid w:val="000B16EA"/>
    <w:rsid w:val="000B4AE6"/>
    <w:rsid w:val="000B4B73"/>
    <w:rsid w:val="000B688F"/>
    <w:rsid w:val="000C2662"/>
    <w:rsid w:val="000C6A38"/>
    <w:rsid w:val="000C6D50"/>
    <w:rsid w:val="000D05AF"/>
    <w:rsid w:val="000D1113"/>
    <w:rsid w:val="000D16E6"/>
    <w:rsid w:val="000D27E7"/>
    <w:rsid w:val="000D4AAD"/>
    <w:rsid w:val="000D754B"/>
    <w:rsid w:val="000E0499"/>
    <w:rsid w:val="000E0601"/>
    <w:rsid w:val="000E0C33"/>
    <w:rsid w:val="000E2388"/>
    <w:rsid w:val="000E4096"/>
    <w:rsid w:val="000E78FB"/>
    <w:rsid w:val="000F3036"/>
    <w:rsid w:val="000F4228"/>
    <w:rsid w:val="000F5B54"/>
    <w:rsid w:val="000F5E67"/>
    <w:rsid w:val="000F685B"/>
    <w:rsid w:val="000F6B98"/>
    <w:rsid w:val="000F6F84"/>
    <w:rsid w:val="000F74B7"/>
    <w:rsid w:val="0010101B"/>
    <w:rsid w:val="00101D11"/>
    <w:rsid w:val="001042FF"/>
    <w:rsid w:val="001050AE"/>
    <w:rsid w:val="00105415"/>
    <w:rsid w:val="00106BBF"/>
    <w:rsid w:val="00106F9E"/>
    <w:rsid w:val="001070D7"/>
    <w:rsid w:val="001078B7"/>
    <w:rsid w:val="00107E89"/>
    <w:rsid w:val="001124A4"/>
    <w:rsid w:val="00112FFE"/>
    <w:rsid w:val="00117662"/>
    <w:rsid w:val="00117DD8"/>
    <w:rsid w:val="0013086F"/>
    <w:rsid w:val="00130917"/>
    <w:rsid w:val="001344EA"/>
    <w:rsid w:val="00135730"/>
    <w:rsid w:val="00141D60"/>
    <w:rsid w:val="00142BBC"/>
    <w:rsid w:val="00143903"/>
    <w:rsid w:val="00143DB1"/>
    <w:rsid w:val="0014555E"/>
    <w:rsid w:val="0014674D"/>
    <w:rsid w:val="001473B2"/>
    <w:rsid w:val="00152E90"/>
    <w:rsid w:val="00152F03"/>
    <w:rsid w:val="00153309"/>
    <w:rsid w:val="00153334"/>
    <w:rsid w:val="00155C56"/>
    <w:rsid w:val="00155FAB"/>
    <w:rsid w:val="00155FED"/>
    <w:rsid w:val="00162655"/>
    <w:rsid w:val="00162D17"/>
    <w:rsid w:val="00163928"/>
    <w:rsid w:val="001701F0"/>
    <w:rsid w:val="00170454"/>
    <w:rsid w:val="00170E47"/>
    <w:rsid w:val="00174316"/>
    <w:rsid w:val="00175403"/>
    <w:rsid w:val="001801AC"/>
    <w:rsid w:val="001802DA"/>
    <w:rsid w:val="00180752"/>
    <w:rsid w:val="00187A87"/>
    <w:rsid w:val="00191473"/>
    <w:rsid w:val="00193C75"/>
    <w:rsid w:val="0019407E"/>
    <w:rsid w:val="00195D01"/>
    <w:rsid w:val="001968E3"/>
    <w:rsid w:val="00197322"/>
    <w:rsid w:val="001974F7"/>
    <w:rsid w:val="00197618"/>
    <w:rsid w:val="001A0F20"/>
    <w:rsid w:val="001A1742"/>
    <w:rsid w:val="001A30BC"/>
    <w:rsid w:val="001A7C5F"/>
    <w:rsid w:val="001B112E"/>
    <w:rsid w:val="001B1C9E"/>
    <w:rsid w:val="001B21F3"/>
    <w:rsid w:val="001B278E"/>
    <w:rsid w:val="001B290B"/>
    <w:rsid w:val="001B3D94"/>
    <w:rsid w:val="001B436C"/>
    <w:rsid w:val="001B558A"/>
    <w:rsid w:val="001C642D"/>
    <w:rsid w:val="001C689C"/>
    <w:rsid w:val="001D1B94"/>
    <w:rsid w:val="001D3E5C"/>
    <w:rsid w:val="001D62A1"/>
    <w:rsid w:val="001E02D9"/>
    <w:rsid w:val="001E0B81"/>
    <w:rsid w:val="001E0FAB"/>
    <w:rsid w:val="001E3062"/>
    <w:rsid w:val="001E692B"/>
    <w:rsid w:val="001F3BBF"/>
    <w:rsid w:val="001F50EF"/>
    <w:rsid w:val="001F5AD4"/>
    <w:rsid w:val="001F6C32"/>
    <w:rsid w:val="001F755C"/>
    <w:rsid w:val="00202C39"/>
    <w:rsid w:val="002037E3"/>
    <w:rsid w:val="00204D5D"/>
    <w:rsid w:val="00206674"/>
    <w:rsid w:val="0021014B"/>
    <w:rsid w:val="00212A6B"/>
    <w:rsid w:val="002148A1"/>
    <w:rsid w:val="00217C16"/>
    <w:rsid w:val="00217EB0"/>
    <w:rsid w:val="00224F41"/>
    <w:rsid w:val="00225545"/>
    <w:rsid w:val="002255A8"/>
    <w:rsid w:val="00226209"/>
    <w:rsid w:val="00231BF7"/>
    <w:rsid w:val="0023254C"/>
    <w:rsid w:val="002335B3"/>
    <w:rsid w:val="00233EE7"/>
    <w:rsid w:val="00234AA8"/>
    <w:rsid w:val="002405AA"/>
    <w:rsid w:val="00241B69"/>
    <w:rsid w:val="00244193"/>
    <w:rsid w:val="0024728B"/>
    <w:rsid w:val="00250409"/>
    <w:rsid w:val="0026295D"/>
    <w:rsid w:val="00266831"/>
    <w:rsid w:val="002715BB"/>
    <w:rsid w:val="002733ED"/>
    <w:rsid w:val="002763FD"/>
    <w:rsid w:val="00276974"/>
    <w:rsid w:val="002779A7"/>
    <w:rsid w:val="002809C7"/>
    <w:rsid w:val="00281D04"/>
    <w:rsid w:val="002822B1"/>
    <w:rsid w:val="0028251F"/>
    <w:rsid w:val="002830E4"/>
    <w:rsid w:val="00287307"/>
    <w:rsid w:val="00290821"/>
    <w:rsid w:val="002914FA"/>
    <w:rsid w:val="002934B9"/>
    <w:rsid w:val="002A51AA"/>
    <w:rsid w:val="002A5736"/>
    <w:rsid w:val="002A5A23"/>
    <w:rsid w:val="002B2981"/>
    <w:rsid w:val="002B2EA4"/>
    <w:rsid w:val="002B50EF"/>
    <w:rsid w:val="002B62AA"/>
    <w:rsid w:val="002B693D"/>
    <w:rsid w:val="002B7295"/>
    <w:rsid w:val="002C3101"/>
    <w:rsid w:val="002C74CC"/>
    <w:rsid w:val="002C7528"/>
    <w:rsid w:val="002D406D"/>
    <w:rsid w:val="002D47C1"/>
    <w:rsid w:val="002E0088"/>
    <w:rsid w:val="002E3C0A"/>
    <w:rsid w:val="002E6DCE"/>
    <w:rsid w:val="002F3A2D"/>
    <w:rsid w:val="002F498F"/>
    <w:rsid w:val="002F5F9A"/>
    <w:rsid w:val="002F6234"/>
    <w:rsid w:val="00301376"/>
    <w:rsid w:val="00301705"/>
    <w:rsid w:val="00301DF6"/>
    <w:rsid w:val="00302278"/>
    <w:rsid w:val="0030412A"/>
    <w:rsid w:val="0030505A"/>
    <w:rsid w:val="00305120"/>
    <w:rsid w:val="00305FAF"/>
    <w:rsid w:val="00310CF7"/>
    <w:rsid w:val="003114D4"/>
    <w:rsid w:val="00314F2A"/>
    <w:rsid w:val="003164E2"/>
    <w:rsid w:val="00316F35"/>
    <w:rsid w:val="003230E8"/>
    <w:rsid w:val="00324243"/>
    <w:rsid w:val="003260B5"/>
    <w:rsid w:val="00326DCE"/>
    <w:rsid w:val="00331231"/>
    <w:rsid w:val="003321FE"/>
    <w:rsid w:val="00333600"/>
    <w:rsid w:val="00333B8A"/>
    <w:rsid w:val="00335947"/>
    <w:rsid w:val="00343CC8"/>
    <w:rsid w:val="00345452"/>
    <w:rsid w:val="00350389"/>
    <w:rsid w:val="00351124"/>
    <w:rsid w:val="00351B2A"/>
    <w:rsid w:val="00354BE0"/>
    <w:rsid w:val="003555E8"/>
    <w:rsid w:val="00355A31"/>
    <w:rsid w:val="003569FF"/>
    <w:rsid w:val="00356FA9"/>
    <w:rsid w:val="003604A4"/>
    <w:rsid w:val="003610EB"/>
    <w:rsid w:val="00362E50"/>
    <w:rsid w:val="00362FD6"/>
    <w:rsid w:val="00363554"/>
    <w:rsid w:val="00364DF0"/>
    <w:rsid w:val="00370685"/>
    <w:rsid w:val="00373AEE"/>
    <w:rsid w:val="00380F01"/>
    <w:rsid w:val="00381CE1"/>
    <w:rsid w:val="00383495"/>
    <w:rsid w:val="00386963"/>
    <w:rsid w:val="003A239F"/>
    <w:rsid w:val="003A276E"/>
    <w:rsid w:val="003A3615"/>
    <w:rsid w:val="003B3562"/>
    <w:rsid w:val="003B5D2A"/>
    <w:rsid w:val="003B6320"/>
    <w:rsid w:val="003C04AF"/>
    <w:rsid w:val="003C23E7"/>
    <w:rsid w:val="003C2E40"/>
    <w:rsid w:val="003C31E9"/>
    <w:rsid w:val="003C553E"/>
    <w:rsid w:val="003C7BE7"/>
    <w:rsid w:val="003D6359"/>
    <w:rsid w:val="003D68DC"/>
    <w:rsid w:val="003D6F2D"/>
    <w:rsid w:val="003E0C51"/>
    <w:rsid w:val="003E0E8F"/>
    <w:rsid w:val="003E1067"/>
    <w:rsid w:val="003E35E3"/>
    <w:rsid w:val="003E5D9A"/>
    <w:rsid w:val="003E65FD"/>
    <w:rsid w:val="003F3484"/>
    <w:rsid w:val="003F5010"/>
    <w:rsid w:val="003F637D"/>
    <w:rsid w:val="00400992"/>
    <w:rsid w:val="00401D08"/>
    <w:rsid w:val="0040255C"/>
    <w:rsid w:val="00403073"/>
    <w:rsid w:val="0040414E"/>
    <w:rsid w:val="0040468D"/>
    <w:rsid w:val="004056DA"/>
    <w:rsid w:val="004068D3"/>
    <w:rsid w:val="0041629D"/>
    <w:rsid w:val="00422F6A"/>
    <w:rsid w:val="004244DB"/>
    <w:rsid w:val="00427498"/>
    <w:rsid w:val="00431959"/>
    <w:rsid w:val="00431DAC"/>
    <w:rsid w:val="00435CF7"/>
    <w:rsid w:val="004365BC"/>
    <w:rsid w:val="004403BC"/>
    <w:rsid w:val="004427A1"/>
    <w:rsid w:val="00442F67"/>
    <w:rsid w:val="00444A09"/>
    <w:rsid w:val="00446BD1"/>
    <w:rsid w:val="00447143"/>
    <w:rsid w:val="00452310"/>
    <w:rsid w:val="00453F9B"/>
    <w:rsid w:val="00454D1F"/>
    <w:rsid w:val="004551BA"/>
    <w:rsid w:val="0045797C"/>
    <w:rsid w:val="00460576"/>
    <w:rsid w:val="0046247C"/>
    <w:rsid w:val="00466B7C"/>
    <w:rsid w:val="00466CAA"/>
    <w:rsid w:val="004673B8"/>
    <w:rsid w:val="0046792C"/>
    <w:rsid w:val="0047106F"/>
    <w:rsid w:val="004733A4"/>
    <w:rsid w:val="004764D3"/>
    <w:rsid w:val="00477380"/>
    <w:rsid w:val="00477D6E"/>
    <w:rsid w:val="00481F93"/>
    <w:rsid w:val="00483F42"/>
    <w:rsid w:val="00486AB8"/>
    <w:rsid w:val="00487637"/>
    <w:rsid w:val="00491296"/>
    <w:rsid w:val="00492515"/>
    <w:rsid w:val="0049374D"/>
    <w:rsid w:val="00496244"/>
    <w:rsid w:val="004A01AE"/>
    <w:rsid w:val="004A25DC"/>
    <w:rsid w:val="004A2DA7"/>
    <w:rsid w:val="004A3C23"/>
    <w:rsid w:val="004B11B0"/>
    <w:rsid w:val="004B29DB"/>
    <w:rsid w:val="004B34B3"/>
    <w:rsid w:val="004B6FB7"/>
    <w:rsid w:val="004C7367"/>
    <w:rsid w:val="004C7718"/>
    <w:rsid w:val="004D11F3"/>
    <w:rsid w:val="004D2BEE"/>
    <w:rsid w:val="004D4D21"/>
    <w:rsid w:val="004D5B7B"/>
    <w:rsid w:val="004D6ACF"/>
    <w:rsid w:val="004D77CE"/>
    <w:rsid w:val="004E05CE"/>
    <w:rsid w:val="004E3D3E"/>
    <w:rsid w:val="004E45D6"/>
    <w:rsid w:val="004E5390"/>
    <w:rsid w:val="004F2FD4"/>
    <w:rsid w:val="004F4D58"/>
    <w:rsid w:val="004F5F46"/>
    <w:rsid w:val="004F5F8F"/>
    <w:rsid w:val="0050230F"/>
    <w:rsid w:val="00504E55"/>
    <w:rsid w:val="00506277"/>
    <w:rsid w:val="005071F7"/>
    <w:rsid w:val="0050795E"/>
    <w:rsid w:val="00507D97"/>
    <w:rsid w:val="00512358"/>
    <w:rsid w:val="0051293E"/>
    <w:rsid w:val="00514D32"/>
    <w:rsid w:val="005154E7"/>
    <w:rsid w:val="005163CD"/>
    <w:rsid w:val="005165A1"/>
    <w:rsid w:val="00516C48"/>
    <w:rsid w:val="00521BD5"/>
    <w:rsid w:val="0052308D"/>
    <w:rsid w:val="00523A4C"/>
    <w:rsid w:val="00527AAA"/>
    <w:rsid w:val="00530020"/>
    <w:rsid w:val="005320AB"/>
    <w:rsid w:val="0053558D"/>
    <w:rsid w:val="005355AE"/>
    <w:rsid w:val="00537443"/>
    <w:rsid w:val="00543B4B"/>
    <w:rsid w:val="00545594"/>
    <w:rsid w:val="00545EA9"/>
    <w:rsid w:val="005509BD"/>
    <w:rsid w:val="0055305A"/>
    <w:rsid w:val="00553070"/>
    <w:rsid w:val="005539C7"/>
    <w:rsid w:val="00562C87"/>
    <w:rsid w:val="00563870"/>
    <w:rsid w:val="00564954"/>
    <w:rsid w:val="00564E8E"/>
    <w:rsid w:val="00565865"/>
    <w:rsid w:val="005668A6"/>
    <w:rsid w:val="00570A1E"/>
    <w:rsid w:val="00571C15"/>
    <w:rsid w:val="00572E95"/>
    <w:rsid w:val="00573149"/>
    <w:rsid w:val="00573DB7"/>
    <w:rsid w:val="005744AB"/>
    <w:rsid w:val="00575E0A"/>
    <w:rsid w:val="00577587"/>
    <w:rsid w:val="00581393"/>
    <w:rsid w:val="00583D20"/>
    <w:rsid w:val="00584D72"/>
    <w:rsid w:val="005850C4"/>
    <w:rsid w:val="005861FD"/>
    <w:rsid w:val="0058624F"/>
    <w:rsid w:val="0058692E"/>
    <w:rsid w:val="00593254"/>
    <w:rsid w:val="005935BF"/>
    <w:rsid w:val="00593A1B"/>
    <w:rsid w:val="00593FBA"/>
    <w:rsid w:val="0059421D"/>
    <w:rsid w:val="005A05A0"/>
    <w:rsid w:val="005A0B95"/>
    <w:rsid w:val="005A3D2A"/>
    <w:rsid w:val="005B0019"/>
    <w:rsid w:val="005B12A4"/>
    <w:rsid w:val="005B388B"/>
    <w:rsid w:val="005B693D"/>
    <w:rsid w:val="005B77E1"/>
    <w:rsid w:val="005B7880"/>
    <w:rsid w:val="005C1963"/>
    <w:rsid w:val="005C346A"/>
    <w:rsid w:val="005D1D3C"/>
    <w:rsid w:val="005D631D"/>
    <w:rsid w:val="005D6E1D"/>
    <w:rsid w:val="005D77BD"/>
    <w:rsid w:val="005E7B00"/>
    <w:rsid w:val="005F34A2"/>
    <w:rsid w:val="005F39C9"/>
    <w:rsid w:val="005F4517"/>
    <w:rsid w:val="005F7884"/>
    <w:rsid w:val="00602306"/>
    <w:rsid w:val="0060238C"/>
    <w:rsid w:val="006056A5"/>
    <w:rsid w:val="00605A6B"/>
    <w:rsid w:val="00606F9B"/>
    <w:rsid w:val="00612C72"/>
    <w:rsid w:val="00613CDF"/>
    <w:rsid w:val="006150F7"/>
    <w:rsid w:val="00615462"/>
    <w:rsid w:val="00616408"/>
    <w:rsid w:val="00617ECE"/>
    <w:rsid w:val="006205B3"/>
    <w:rsid w:val="0062341D"/>
    <w:rsid w:val="0062437B"/>
    <w:rsid w:val="00625284"/>
    <w:rsid w:val="0062781C"/>
    <w:rsid w:val="0062789D"/>
    <w:rsid w:val="00627D94"/>
    <w:rsid w:val="0063015D"/>
    <w:rsid w:val="00637385"/>
    <w:rsid w:val="00637F6E"/>
    <w:rsid w:val="006466F9"/>
    <w:rsid w:val="00650895"/>
    <w:rsid w:val="00650DBC"/>
    <w:rsid w:val="00652006"/>
    <w:rsid w:val="00654F4F"/>
    <w:rsid w:val="0065569D"/>
    <w:rsid w:val="006572B8"/>
    <w:rsid w:val="006577E2"/>
    <w:rsid w:val="00657E43"/>
    <w:rsid w:val="00660114"/>
    <w:rsid w:val="00662530"/>
    <w:rsid w:val="00664681"/>
    <w:rsid w:val="00665158"/>
    <w:rsid w:val="006663C1"/>
    <w:rsid w:val="00666E52"/>
    <w:rsid w:val="00671443"/>
    <w:rsid w:val="006749AB"/>
    <w:rsid w:val="0067573E"/>
    <w:rsid w:val="00675B65"/>
    <w:rsid w:val="0067646C"/>
    <w:rsid w:val="0068402E"/>
    <w:rsid w:val="00684DC4"/>
    <w:rsid w:val="006908DE"/>
    <w:rsid w:val="0069221C"/>
    <w:rsid w:val="00692D6F"/>
    <w:rsid w:val="006939D8"/>
    <w:rsid w:val="006A1CED"/>
    <w:rsid w:val="006B02F0"/>
    <w:rsid w:val="006B0D88"/>
    <w:rsid w:val="006B1B67"/>
    <w:rsid w:val="006B1D39"/>
    <w:rsid w:val="006B1E11"/>
    <w:rsid w:val="006B35DF"/>
    <w:rsid w:val="006B3B0C"/>
    <w:rsid w:val="006B5B57"/>
    <w:rsid w:val="006B6337"/>
    <w:rsid w:val="006C23E6"/>
    <w:rsid w:val="006C395A"/>
    <w:rsid w:val="006C3EB3"/>
    <w:rsid w:val="006C4B95"/>
    <w:rsid w:val="006C65CD"/>
    <w:rsid w:val="006C670A"/>
    <w:rsid w:val="006D12A5"/>
    <w:rsid w:val="006D18C0"/>
    <w:rsid w:val="006D5421"/>
    <w:rsid w:val="006D794A"/>
    <w:rsid w:val="006E2ACD"/>
    <w:rsid w:val="006E370F"/>
    <w:rsid w:val="006E39F1"/>
    <w:rsid w:val="006E5788"/>
    <w:rsid w:val="006F076A"/>
    <w:rsid w:val="006F7BDC"/>
    <w:rsid w:val="00700C8A"/>
    <w:rsid w:val="00701025"/>
    <w:rsid w:val="007034A1"/>
    <w:rsid w:val="00706347"/>
    <w:rsid w:val="00711286"/>
    <w:rsid w:val="007163CD"/>
    <w:rsid w:val="0071775A"/>
    <w:rsid w:val="00721F5B"/>
    <w:rsid w:val="00722488"/>
    <w:rsid w:val="007239FA"/>
    <w:rsid w:val="00724651"/>
    <w:rsid w:val="007246FB"/>
    <w:rsid w:val="0073008E"/>
    <w:rsid w:val="00730C2F"/>
    <w:rsid w:val="00730D4B"/>
    <w:rsid w:val="0073117B"/>
    <w:rsid w:val="007329EB"/>
    <w:rsid w:val="007342C6"/>
    <w:rsid w:val="0073495F"/>
    <w:rsid w:val="0073678F"/>
    <w:rsid w:val="00736A79"/>
    <w:rsid w:val="00740DEE"/>
    <w:rsid w:val="0074293C"/>
    <w:rsid w:val="0074792F"/>
    <w:rsid w:val="00747DA6"/>
    <w:rsid w:val="0075010D"/>
    <w:rsid w:val="00750B6B"/>
    <w:rsid w:val="0075260C"/>
    <w:rsid w:val="00752FEF"/>
    <w:rsid w:val="00753982"/>
    <w:rsid w:val="007629D2"/>
    <w:rsid w:val="007632BA"/>
    <w:rsid w:val="00763F00"/>
    <w:rsid w:val="0076480F"/>
    <w:rsid w:val="0076559F"/>
    <w:rsid w:val="007720AA"/>
    <w:rsid w:val="00774206"/>
    <w:rsid w:val="00775D81"/>
    <w:rsid w:val="007775E1"/>
    <w:rsid w:val="00782336"/>
    <w:rsid w:val="00782AFB"/>
    <w:rsid w:val="007834A1"/>
    <w:rsid w:val="00784F0A"/>
    <w:rsid w:val="0078511A"/>
    <w:rsid w:val="00785C75"/>
    <w:rsid w:val="00787C82"/>
    <w:rsid w:val="007928AD"/>
    <w:rsid w:val="007977CE"/>
    <w:rsid w:val="00797C4F"/>
    <w:rsid w:val="007A0A19"/>
    <w:rsid w:val="007A2AEC"/>
    <w:rsid w:val="007A2E9B"/>
    <w:rsid w:val="007A32CD"/>
    <w:rsid w:val="007A359F"/>
    <w:rsid w:val="007A4178"/>
    <w:rsid w:val="007A5920"/>
    <w:rsid w:val="007A64DC"/>
    <w:rsid w:val="007B5C8D"/>
    <w:rsid w:val="007B6F6C"/>
    <w:rsid w:val="007C038A"/>
    <w:rsid w:val="007C4701"/>
    <w:rsid w:val="007C4FB1"/>
    <w:rsid w:val="007D028B"/>
    <w:rsid w:val="007D1853"/>
    <w:rsid w:val="007D1FE6"/>
    <w:rsid w:val="007D3D94"/>
    <w:rsid w:val="007D4552"/>
    <w:rsid w:val="007D4F0A"/>
    <w:rsid w:val="007D5767"/>
    <w:rsid w:val="007D7328"/>
    <w:rsid w:val="007E4E83"/>
    <w:rsid w:val="007F33CB"/>
    <w:rsid w:val="007F5F9F"/>
    <w:rsid w:val="007F6E75"/>
    <w:rsid w:val="00800BD9"/>
    <w:rsid w:val="0081079D"/>
    <w:rsid w:val="0081108E"/>
    <w:rsid w:val="0081115D"/>
    <w:rsid w:val="00811B99"/>
    <w:rsid w:val="008203B2"/>
    <w:rsid w:val="00821198"/>
    <w:rsid w:val="008247A7"/>
    <w:rsid w:val="008272DD"/>
    <w:rsid w:val="0083543C"/>
    <w:rsid w:val="00835FDB"/>
    <w:rsid w:val="008375F3"/>
    <w:rsid w:val="00837D72"/>
    <w:rsid w:val="00840A2B"/>
    <w:rsid w:val="00842ECC"/>
    <w:rsid w:val="00843694"/>
    <w:rsid w:val="00843D72"/>
    <w:rsid w:val="008447D6"/>
    <w:rsid w:val="00845C29"/>
    <w:rsid w:val="0084748C"/>
    <w:rsid w:val="00847FAA"/>
    <w:rsid w:val="00850D33"/>
    <w:rsid w:val="00853FAD"/>
    <w:rsid w:val="00855313"/>
    <w:rsid w:val="008573C9"/>
    <w:rsid w:val="00861624"/>
    <w:rsid w:val="008619A4"/>
    <w:rsid w:val="0086302B"/>
    <w:rsid w:val="008653F0"/>
    <w:rsid w:val="008671C8"/>
    <w:rsid w:val="00867D92"/>
    <w:rsid w:val="00873704"/>
    <w:rsid w:val="008741EE"/>
    <w:rsid w:val="00876E3D"/>
    <w:rsid w:val="008777F0"/>
    <w:rsid w:val="00877C2F"/>
    <w:rsid w:val="00880B2D"/>
    <w:rsid w:val="00882649"/>
    <w:rsid w:val="0088296D"/>
    <w:rsid w:val="00882FA4"/>
    <w:rsid w:val="008836F8"/>
    <w:rsid w:val="00887C4F"/>
    <w:rsid w:val="00891B25"/>
    <w:rsid w:val="00896D8E"/>
    <w:rsid w:val="008974A9"/>
    <w:rsid w:val="00897B73"/>
    <w:rsid w:val="008A1F69"/>
    <w:rsid w:val="008A50E3"/>
    <w:rsid w:val="008A5B38"/>
    <w:rsid w:val="008A6B18"/>
    <w:rsid w:val="008A7D1B"/>
    <w:rsid w:val="008B102A"/>
    <w:rsid w:val="008B3416"/>
    <w:rsid w:val="008B3DAB"/>
    <w:rsid w:val="008B4401"/>
    <w:rsid w:val="008B53FA"/>
    <w:rsid w:val="008C0297"/>
    <w:rsid w:val="008C0AF8"/>
    <w:rsid w:val="008C156C"/>
    <w:rsid w:val="008C5BEB"/>
    <w:rsid w:val="008D0D15"/>
    <w:rsid w:val="008D12FF"/>
    <w:rsid w:val="008D162A"/>
    <w:rsid w:val="008D17C7"/>
    <w:rsid w:val="008D1DFE"/>
    <w:rsid w:val="008D249C"/>
    <w:rsid w:val="008D679F"/>
    <w:rsid w:val="008D7256"/>
    <w:rsid w:val="008E06F8"/>
    <w:rsid w:val="008E0EE1"/>
    <w:rsid w:val="008E220C"/>
    <w:rsid w:val="008E2D25"/>
    <w:rsid w:val="008E34BB"/>
    <w:rsid w:val="008F1CC2"/>
    <w:rsid w:val="008F44C7"/>
    <w:rsid w:val="008F5B9B"/>
    <w:rsid w:val="008F638A"/>
    <w:rsid w:val="008F7A60"/>
    <w:rsid w:val="0090195D"/>
    <w:rsid w:val="00902209"/>
    <w:rsid w:val="00902667"/>
    <w:rsid w:val="009026FB"/>
    <w:rsid w:val="0090503A"/>
    <w:rsid w:val="00906307"/>
    <w:rsid w:val="00911381"/>
    <w:rsid w:val="009167FF"/>
    <w:rsid w:val="00917D03"/>
    <w:rsid w:val="00922170"/>
    <w:rsid w:val="009247A5"/>
    <w:rsid w:val="009250E0"/>
    <w:rsid w:val="00925ACE"/>
    <w:rsid w:val="00927BBE"/>
    <w:rsid w:val="0093098E"/>
    <w:rsid w:val="00931B08"/>
    <w:rsid w:val="00931F5E"/>
    <w:rsid w:val="009323AA"/>
    <w:rsid w:val="009328A4"/>
    <w:rsid w:val="0093302D"/>
    <w:rsid w:val="00933106"/>
    <w:rsid w:val="00933675"/>
    <w:rsid w:val="00941743"/>
    <w:rsid w:val="009436D8"/>
    <w:rsid w:val="009442F0"/>
    <w:rsid w:val="00944CCB"/>
    <w:rsid w:val="00944ED9"/>
    <w:rsid w:val="00946941"/>
    <w:rsid w:val="0095209A"/>
    <w:rsid w:val="00954E60"/>
    <w:rsid w:val="00955521"/>
    <w:rsid w:val="0095712A"/>
    <w:rsid w:val="00963729"/>
    <w:rsid w:val="00972517"/>
    <w:rsid w:val="00980391"/>
    <w:rsid w:val="009820AC"/>
    <w:rsid w:val="0098456D"/>
    <w:rsid w:val="00986283"/>
    <w:rsid w:val="00992364"/>
    <w:rsid w:val="009951A3"/>
    <w:rsid w:val="00995590"/>
    <w:rsid w:val="009A0AA8"/>
    <w:rsid w:val="009A0BB2"/>
    <w:rsid w:val="009A1365"/>
    <w:rsid w:val="009A29E2"/>
    <w:rsid w:val="009A4B97"/>
    <w:rsid w:val="009A618F"/>
    <w:rsid w:val="009A7E84"/>
    <w:rsid w:val="009B1B06"/>
    <w:rsid w:val="009B65DB"/>
    <w:rsid w:val="009C40AF"/>
    <w:rsid w:val="009D05B0"/>
    <w:rsid w:val="009D43E3"/>
    <w:rsid w:val="009D72D8"/>
    <w:rsid w:val="009D7417"/>
    <w:rsid w:val="009D7EA1"/>
    <w:rsid w:val="009E267D"/>
    <w:rsid w:val="009E3349"/>
    <w:rsid w:val="009E449D"/>
    <w:rsid w:val="009E5DFD"/>
    <w:rsid w:val="009E6AAA"/>
    <w:rsid w:val="009E7669"/>
    <w:rsid w:val="009F1846"/>
    <w:rsid w:val="009F187E"/>
    <w:rsid w:val="009F2E93"/>
    <w:rsid w:val="009F6AF7"/>
    <w:rsid w:val="009F7F28"/>
    <w:rsid w:val="00A04B14"/>
    <w:rsid w:val="00A101ED"/>
    <w:rsid w:val="00A11BE4"/>
    <w:rsid w:val="00A11DE6"/>
    <w:rsid w:val="00A1238B"/>
    <w:rsid w:val="00A124E2"/>
    <w:rsid w:val="00A136A7"/>
    <w:rsid w:val="00A149FC"/>
    <w:rsid w:val="00A14A86"/>
    <w:rsid w:val="00A1671F"/>
    <w:rsid w:val="00A16BF4"/>
    <w:rsid w:val="00A20A3E"/>
    <w:rsid w:val="00A25BE0"/>
    <w:rsid w:val="00A273BE"/>
    <w:rsid w:val="00A332F6"/>
    <w:rsid w:val="00A42440"/>
    <w:rsid w:val="00A4253C"/>
    <w:rsid w:val="00A44EBA"/>
    <w:rsid w:val="00A4653F"/>
    <w:rsid w:val="00A46E61"/>
    <w:rsid w:val="00A4782D"/>
    <w:rsid w:val="00A52C95"/>
    <w:rsid w:val="00A5408C"/>
    <w:rsid w:val="00A5424B"/>
    <w:rsid w:val="00A55618"/>
    <w:rsid w:val="00A57A65"/>
    <w:rsid w:val="00A60692"/>
    <w:rsid w:val="00A6392B"/>
    <w:rsid w:val="00A64884"/>
    <w:rsid w:val="00A64C5B"/>
    <w:rsid w:val="00A67B75"/>
    <w:rsid w:val="00A71285"/>
    <w:rsid w:val="00A714EC"/>
    <w:rsid w:val="00A7210D"/>
    <w:rsid w:val="00A72791"/>
    <w:rsid w:val="00A75C64"/>
    <w:rsid w:val="00A76411"/>
    <w:rsid w:val="00A76588"/>
    <w:rsid w:val="00A76642"/>
    <w:rsid w:val="00A770BD"/>
    <w:rsid w:val="00A8517C"/>
    <w:rsid w:val="00A9090C"/>
    <w:rsid w:val="00A91775"/>
    <w:rsid w:val="00A94E6F"/>
    <w:rsid w:val="00A9514B"/>
    <w:rsid w:val="00A9582B"/>
    <w:rsid w:val="00A97B9C"/>
    <w:rsid w:val="00AA0574"/>
    <w:rsid w:val="00AA24FA"/>
    <w:rsid w:val="00AB074E"/>
    <w:rsid w:val="00AB12A2"/>
    <w:rsid w:val="00AB1497"/>
    <w:rsid w:val="00AB18E4"/>
    <w:rsid w:val="00AB2633"/>
    <w:rsid w:val="00AB3BDC"/>
    <w:rsid w:val="00AB418C"/>
    <w:rsid w:val="00AB5F0B"/>
    <w:rsid w:val="00AC2BA5"/>
    <w:rsid w:val="00AC3A77"/>
    <w:rsid w:val="00AD1689"/>
    <w:rsid w:val="00AD429B"/>
    <w:rsid w:val="00AD5C3D"/>
    <w:rsid w:val="00AD6265"/>
    <w:rsid w:val="00AE4CBD"/>
    <w:rsid w:val="00AE52C9"/>
    <w:rsid w:val="00AE5D4A"/>
    <w:rsid w:val="00AF1AEE"/>
    <w:rsid w:val="00AF20F9"/>
    <w:rsid w:val="00AF34C3"/>
    <w:rsid w:val="00AF5BCB"/>
    <w:rsid w:val="00B0091D"/>
    <w:rsid w:val="00B00C73"/>
    <w:rsid w:val="00B01746"/>
    <w:rsid w:val="00B03C2A"/>
    <w:rsid w:val="00B06B0C"/>
    <w:rsid w:val="00B1406E"/>
    <w:rsid w:val="00B15AA5"/>
    <w:rsid w:val="00B166F5"/>
    <w:rsid w:val="00B223FF"/>
    <w:rsid w:val="00B25968"/>
    <w:rsid w:val="00B2689D"/>
    <w:rsid w:val="00B26AEF"/>
    <w:rsid w:val="00B30D37"/>
    <w:rsid w:val="00B32946"/>
    <w:rsid w:val="00B36298"/>
    <w:rsid w:val="00B36B35"/>
    <w:rsid w:val="00B407DD"/>
    <w:rsid w:val="00B40F30"/>
    <w:rsid w:val="00B41829"/>
    <w:rsid w:val="00B442BD"/>
    <w:rsid w:val="00B46885"/>
    <w:rsid w:val="00B52B15"/>
    <w:rsid w:val="00B56648"/>
    <w:rsid w:val="00B56888"/>
    <w:rsid w:val="00B57C06"/>
    <w:rsid w:val="00B57C3C"/>
    <w:rsid w:val="00B61195"/>
    <w:rsid w:val="00B61CA6"/>
    <w:rsid w:val="00B61E50"/>
    <w:rsid w:val="00B6269A"/>
    <w:rsid w:val="00B65078"/>
    <w:rsid w:val="00B66A8A"/>
    <w:rsid w:val="00B67E1B"/>
    <w:rsid w:val="00B71E23"/>
    <w:rsid w:val="00B72DC3"/>
    <w:rsid w:val="00B7358B"/>
    <w:rsid w:val="00B73C32"/>
    <w:rsid w:val="00B75803"/>
    <w:rsid w:val="00B76E56"/>
    <w:rsid w:val="00B804F2"/>
    <w:rsid w:val="00B81441"/>
    <w:rsid w:val="00B815B7"/>
    <w:rsid w:val="00B87B93"/>
    <w:rsid w:val="00B906B7"/>
    <w:rsid w:val="00B924D3"/>
    <w:rsid w:val="00B93651"/>
    <w:rsid w:val="00B966A8"/>
    <w:rsid w:val="00B97C6B"/>
    <w:rsid w:val="00BA0C09"/>
    <w:rsid w:val="00BA19B4"/>
    <w:rsid w:val="00BA20BE"/>
    <w:rsid w:val="00BA2111"/>
    <w:rsid w:val="00BA2289"/>
    <w:rsid w:val="00BA2AD5"/>
    <w:rsid w:val="00BA5C28"/>
    <w:rsid w:val="00BB0266"/>
    <w:rsid w:val="00BB0D7D"/>
    <w:rsid w:val="00BB5948"/>
    <w:rsid w:val="00BB5B69"/>
    <w:rsid w:val="00BB6731"/>
    <w:rsid w:val="00BB7A6C"/>
    <w:rsid w:val="00BC0640"/>
    <w:rsid w:val="00BC06BC"/>
    <w:rsid w:val="00BC08C8"/>
    <w:rsid w:val="00BC0A84"/>
    <w:rsid w:val="00BC4E35"/>
    <w:rsid w:val="00BC6B7F"/>
    <w:rsid w:val="00BD281F"/>
    <w:rsid w:val="00BD2B05"/>
    <w:rsid w:val="00BD4722"/>
    <w:rsid w:val="00BD490F"/>
    <w:rsid w:val="00BD553D"/>
    <w:rsid w:val="00BD6075"/>
    <w:rsid w:val="00BD709D"/>
    <w:rsid w:val="00BE484D"/>
    <w:rsid w:val="00BE48C9"/>
    <w:rsid w:val="00BE49F9"/>
    <w:rsid w:val="00BE56F0"/>
    <w:rsid w:val="00BE5788"/>
    <w:rsid w:val="00BE6823"/>
    <w:rsid w:val="00BF01AE"/>
    <w:rsid w:val="00BF09A8"/>
    <w:rsid w:val="00BF2F42"/>
    <w:rsid w:val="00BF4591"/>
    <w:rsid w:val="00BF4B6B"/>
    <w:rsid w:val="00BF506F"/>
    <w:rsid w:val="00BF58BE"/>
    <w:rsid w:val="00BF7880"/>
    <w:rsid w:val="00C00FCB"/>
    <w:rsid w:val="00C0186B"/>
    <w:rsid w:val="00C04A43"/>
    <w:rsid w:val="00C05FDE"/>
    <w:rsid w:val="00C06AC4"/>
    <w:rsid w:val="00C11556"/>
    <w:rsid w:val="00C128A4"/>
    <w:rsid w:val="00C148CE"/>
    <w:rsid w:val="00C1624E"/>
    <w:rsid w:val="00C17663"/>
    <w:rsid w:val="00C21561"/>
    <w:rsid w:val="00C21914"/>
    <w:rsid w:val="00C24894"/>
    <w:rsid w:val="00C24960"/>
    <w:rsid w:val="00C253DA"/>
    <w:rsid w:val="00C27BB5"/>
    <w:rsid w:val="00C30AD7"/>
    <w:rsid w:val="00C30E37"/>
    <w:rsid w:val="00C350AB"/>
    <w:rsid w:val="00C3642F"/>
    <w:rsid w:val="00C372F1"/>
    <w:rsid w:val="00C42707"/>
    <w:rsid w:val="00C431C1"/>
    <w:rsid w:val="00C44900"/>
    <w:rsid w:val="00C50354"/>
    <w:rsid w:val="00C5069A"/>
    <w:rsid w:val="00C50E5B"/>
    <w:rsid w:val="00C514AC"/>
    <w:rsid w:val="00C51501"/>
    <w:rsid w:val="00C5267F"/>
    <w:rsid w:val="00C53281"/>
    <w:rsid w:val="00C53C6D"/>
    <w:rsid w:val="00C5581E"/>
    <w:rsid w:val="00C579F8"/>
    <w:rsid w:val="00C6063F"/>
    <w:rsid w:val="00C63545"/>
    <w:rsid w:val="00C65C00"/>
    <w:rsid w:val="00C66761"/>
    <w:rsid w:val="00C670DA"/>
    <w:rsid w:val="00C672FC"/>
    <w:rsid w:val="00C72733"/>
    <w:rsid w:val="00C740E8"/>
    <w:rsid w:val="00C7434A"/>
    <w:rsid w:val="00C75015"/>
    <w:rsid w:val="00C766E5"/>
    <w:rsid w:val="00C80BE5"/>
    <w:rsid w:val="00C823AD"/>
    <w:rsid w:val="00C83D02"/>
    <w:rsid w:val="00C84768"/>
    <w:rsid w:val="00C84D48"/>
    <w:rsid w:val="00C85D93"/>
    <w:rsid w:val="00C86CD9"/>
    <w:rsid w:val="00C87A80"/>
    <w:rsid w:val="00C918CA"/>
    <w:rsid w:val="00C91C0E"/>
    <w:rsid w:val="00C93BED"/>
    <w:rsid w:val="00C95768"/>
    <w:rsid w:val="00C95BFE"/>
    <w:rsid w:val="00CA532F"/>
    <w:rsid w:val="00CA556A"/>
    <w:rsid w:val="00CA6210"/>
    <w:rsid w:val="00CA6C32"/>
    <w:rsid w:val="00CA7463"/>
    <w:rsid w:val="00CB16ED"/>
    <w:rsid w:val="00CB2195"/>
    <w:rsid w:val="00CB2CB6"/>
    <w:rsid w:val="00CB39BB"/>
    <w:rsid w:val="00CB3BE5"/>
    <w:rsid w:val="00CB4AC8"/>
    <w:rsid w:val="00CB4F0A"/>
    <w:rsid w:val="00CB64A9"/>
    <w:rsid w:val="00CB6C1B"/>
    <w:rsid w:val="00CC03DD"/>
    <w:rsid w:val="00CC0BC0"/>
    <w:rsid w:val="00CC18C7"/>
    <w:rsid w:val="00CC3C42"/>
    <w:rsid w:val="00CD0CDD"/>
    <w:rsid w:val="00CD1041"/>
    <w:rsid w:val="00CD26FA"/>
    <w:rsid w:val="00CE0B02"/>
    <w:rsid w:val="00CE12F0"/>
    <w:rsid w:val="00CE1AE2"/>
    <w:rsid w:val="00CE2669"/>
    <w:rsid w:val="00CE4B72"/>
    <w:rsid w:val="00CE61C9"/>
    <w:rsid w:val="00CE779E"/>
    <w:rsid w:val="00CF3C3F"/>
    <w:rsid w:val="00CF7CB7"/>
    <w:rsid w:val="00D040D5"/>
    <w:rsid w:val="00D05727"/>
    <w:rsid w:val="00D05D49"/>
    <w:rsid w:val="00D149DB"/>
    <w:rsid w:val="00D20C8E"/>
    <w:rsid w:val="00D20D85"/>
    <w:rsid w:val="00D20FC4"/>
    <w:rsid w:val="00D26E0B"/>
    <w:rsid w:val="00D27810"/>
    <w:rsid w:val="00D3016E"/>
    <w:rsid w:val="00D31C05"/>
    <w:rsid w:val="00D3284C"/>
    <w:rsid w:val="00D330A7"/>
    <w:rsid w:val="00D3339F"/>
    <w:rsid w:val="00D3378A"/>
    <w:rsid w:val="00D3473B"/>
    <w:rsid w:val="00D35F2D"/>
    <w:rsid w:val="00D409A5"/>
    <w:rsid w:val="00D40DD0"/>
    <w:rsid w:val="00D41F71"/>
    <w:rsid w:val="00D440BE"/>
    <w:rsid w:val="00D45D72"/>
    <w:rsid w:val="00D46354"/>
    <w:rsid w:val="00D46874"/>
    <w:rsid w:val="00D46E33"/>
    <w:rsid w:val="00D52F64"/>
    <w:rsid w:val="00D539C3"/>
    <w:rsid w:val="00D5451E"/>
    <w:rsid w:val="00D548DE"/>
    <w:rsid w:val="00D57B6F"/>
    <w:rsid w:val="00D609AE"/>
    <w:rsid w:val="00D63B3F"/>
    <w:rsid w:val="00D65A46"/>
    <w:rsid w:val="00D65E58"/>
    <w:rsid w:val="00D67A5B"/>
    <w:rsid w:val="00D67D08"/>
    <w:rsid w:val="00D67D82"/>
    <w:rsid w:val="00D70294"/>
    <w:rsid w:val="00D70E72"/>
    <w:rsid w:val="00D71320"/>
    <w:rsid w:val="00D73F92"/>
    <w:rsid w:val="00D75C64"/>
    <w:rsid w:val="00D81C5D"/>
    <w:rsid w:val="00D81EC8"/>
    <w:rsid w:val="00D845A1"/>
    <w:rsid w:val="00D84776"/>
    <w:rsid w:val="00D84F8D"/>
    <w:rsid w:val="00D85F88"/>
    <w:rsid w:val="00D86C3C"/>
    <w:rsid w:val="00D86E61"/>
    <w:rsid w:val="00DA1898"/>
    <w:rsid w:val="00DA21BC"/>
    <w:rsid w:val="00DA5CE5"/>
    <w:rsid w:val="00DB2A6E"/>
    <w:rsid w:val="00DB2BF1"/>
    <w:rsid w:val="00DB48EE"/>
    <w:rsid w:val="00DB74A2"/>
    <w:rsid w:val="00DC0076"/>
    <w:rsid w:val="00DC1BA5"/>
    <w:rsid w:val="00DC2240"/>
    <w:rsid w:val="00DC3CB6"/>
    <w:rsid w:val="00DC4B1E"/>
    <w:rsid w:val="00DD00E8"/>
    <w:rsid w:val="00DD19EA"/>
    <w:rsid w:val="00DD4C92"/>
    <w:rsid w:val="00DD64F5"/>
    <w:rsid w:val="00DE0352"/>
    <w:rsid w:val="00DE1054"/>
    <w:rsid w:val="00DE2061"/>
    <w:rsid w:val="00DE3803"/>
    <w:rsid w:val="00DE3BA1"/>
    <w:rsid w:val="00DE4B1D"/>
    <w:rsid w:val="00DE58F8"/>
    <w:rsid w:val="00DE6F32"/>
    <w:rsid w:val="00DF018C"/>
    <w:rsid w:val="00DF0A0A"/>
    <w:rsid w:val="00DF2834"/>
    <w:rsid w:val="00DF2F13"/>
    <w:rsid w:val="00DF41A4"/>
    <w:rsid w:val="00DF5B77"/>
    <w:rsid w:val="00DF6928"/>
    <w:rsid w:val="00DF699F"/>
    <w:rsid w:val="00E001E4"/>
    <w:rsid w:val="00E00237"/>
    <w:rsid w:val="00E0053A"/>
    <w:rsid w:val="00E009AB"/>
    <w:rsid w:val="00E021F5"/>
    <w:rsid w:val="00E035B0"/>
    <w:rsid w:val="00E069ED"/>
    <w:rsid w:val="00E07260"/>
    <w:rsid w:val="00E11650"/>
    <w:rsid w:val="00E123E0"/>
    <w:rsid w:val="00E14A2F"/>
    <w:rsid w:val="00E14AF9"/>
    <w:rsid w:val="00E16232"/>
    <w:rsid w:val="00E176A7"/>
    <w:rsid w:val="00E17C32"/>
    <w:rsid w:val="00E258DF"/>
    <w:rsid w:val="00E26F6B"/>
    <w:rsid w:val="00E30240"/>
    <w:rsid w:val="00E307B3"/>
    <w:rsid w:val="00E308FF"/>
    <w:rsid w:val="00E32CCA"/>
    <w:rsid w:val="00E3572B"/>
    <w:rsid w:val="00E3724D"/>
    <w:rsid w:val="00E37B6D"/>
    <w:rsid w:val="00E4317E"/>
    <w:rsid w:val="00E441F4"/>
    <w:rsid w:val="00E474C1"/>
    <w:rsid w:val="00E5190E"/>
    <w:rsid w:val="00E549A7"/>
    <w:rsid w:val="00E55E97"/>
    <w:rsid w:val="00E606F1"/>
    <w:rsid w:val="00E626B6"/>
    <w:rsid w:val="00E634A8"/>
    <w:rsid w:val="00E63F47"/>
    <w:rsid w:val="00E646DD"/>
    <w:rsid w:val="00E67822"/>
    <w:rsid w:val="00E6792A"/>
    <w:rsid w:val="00E67CF1"/>
    <w:rsid w:val="00E7333B"/>
    <w:rsid w:val="00E74DCA"/>
    <w:rsid w:val="00E76B9C"/>
    <w:rsid w:val="00E806DF"/>
    <w:rsid w:val="00E81189"/>
    <w:rsid w:val="00E90C56"/>
    <w:rsid w:val="00E91469"/>
    <w:rsid w:val="00E93DB7"/>
    <w:rsid w:val="00EA26E3"/>
    <w:rsid w:val="00EA2E7C"/>
    <w:rsid w:val="00EA52D4"/>
    <w:rsid w:val="00EA58B7"/>
    <w:rsid w:val="00EA62AE"/>
    <w:rsid w:val="00EA74E2"/>
    <w:rsid w:val="00EB05D9"/>
    <w:rsid w:val="00EB503C"/>
    <w:rsid w:val="00EB5541"/>
    <w:rsid w:val="00EB64B2"/>
    <w:rsid w:val="00EC0706"/>
    <w:rsid w:val="00EC2443"/>
    <w:rsid w:val="00ED1D75"/>
    <w:rsid w:val="00ED3F57"/>
    <w:rsid w:val="00ED6BE0"/>
    <w:rsid w:val="00ED6D14"/>
    <w:rsid w:val="00EE22C8"/>
    <w:rsid w:val="00EF4DDE"/>
    <w:rsid w:val="00F011BB"/>
    <w:rsid w:val="00F0169F"/>
    <w:rsid w:val="00F03C07"/>
    <w:rsid w:val="00F03D89"/>
    <w:rsid w:val="00F05C1B"/>
    <w:rsid w:val="00F05DB9"/>
    <w:rsid w:val="00F06E51"/>
    <w:rsid w:val="00F10978"/>
    <w:rsid w:val="00F1160F"/>
    <w:rsid w:val="00F12002"/>
    <w:rsid w:val="00F12E2C"/>
    <w:rsid w:val="00F13732"/>
    <w:rsid w:val="00F13BB0"/>
    <w:rsid w:val="00F14744"/>
    <w:rsid w:val="00F14FC0"/>
    <w:rsid w:val="00F162B4"/>
    <w:rsid w:val="00F206B0"/>
    <w:rsid w:val="00F2242E"/>
    <w:rsid w:val="00F22A09"/>
    <w:rsid w:val="00F2308D"/>
    <w:rsid w:val="00F25992"/>
    <w:rsid w:val="00F308B9"/>
    <w:rsid w:val="00F32505"/>
    <w:rsid w:val="00F35350"/>
    <w:rsid w:val="00F36734"/>
    <w:rsid w:val="00F37B80"/>
    <w:rsid w:val="00F430FD"/>
    <w:rsid w:val="00F4474A"/>
    <w:rsid w:val="00F4651E"/>
    <w:rsid w:val="00F47880"/>
    <w:rsid w:val="00F52F80"/>
    <w:rsid w:val="00F5411F"/>
    <w:rsid w:val="00F57DC0"/>
    <w:rsid w:val="00F622A0"/>
    <w:rsid w:val="00F67AE2"/>
    <w:rsid w:val="00F724C6"/>
    <w:rsid w:val="00F74D1F"/>
    <w:rsid w:val="00F7741B"/>
    <w:rsid w:val="00F8324F"/>
    <w:rsid w:val="00F850A2"/>
    <w:rsid w:val="00F858B4"/>
    <w:rsid w:val="00F86EB8"/>
    <w:rsid w:val="00F9035A"/>
    <w:rsid w:val="00F91688"/>
    <w:rsid w:val="00F92C70"/>
    <w:rsid w:val="00F94BE1"/>
    <w:rsid w:val="00F953B7"/>
    <w:rsid w:val="00F95BF5"/>
    <w:rsid w:val="00F960D2"/>
    <w:rsid w:val="00F97573"/>
    <w:rsid w:val="00FA0B2F"/>
    <w:rsid w:val="00FA382E"/>
    <w:rsid w:val="00FA3EC2"/>
    <w:rsid w:val="00FA45BD"/>
    <w:rsid w:val="00FA6A1E"/>
    <w:rsid w:val="00FB2F58"/>
    <w:rsid w:val="00FB405D"/>
    <w:rsid w:val="00FB4864"/>
    <w:rsid w:val="00FB516F"/>
    <w:rsid w:val="00FB7CC1"/>
    <w:rsid w:val="00FC1074"/>
    <w:rsid w:val="00FC4466"/>
    <w:rsid w:val="00FC49DD"/>
    <w:rsid w:val="00FC5DFA"/>
    <w:rsid w:val="00FD2044"/>
    <w:rsid w:val="00FD32EA"/>
    <w:rsid w:val="00FD42D8"/>
    <w:rsid w:val="00FD4517"/>
    <w:rsid w:val="00FE1475"/>
    <w:rsid w:val="00FE4141"/>
    <w:rsid w:val="00FE46CE"/>
    <w:rsid w:val="00FE5127"/>
    <w:rsid w:val="00FE6BBF"/>
    <w:rsid w:val="00FE6C73"/>
    <w:rsid w:val="00FE735B"/>
    <w:rsid w:val="00FE7ECE"/>
    <w:rsid w:val="00FF0FDA"/>
    <w:rsid w:val="00FF4278"/>
    <w:rsid w:val="00FF4611"/>
    <w:rsid w:val="00FF5492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EDA62"/>
  <w15:chartTrackingRefBased/>
  <w15:docId w15:val="{67780161-7E83-4909-8E74-DE1D469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E7"/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11BE4"/>
    <w:pPr>
      <w:ind w:left="720"/>
      <w:contextualSpacing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rrafodelistaCar">
    <w:name w:val="Párrafo de lista Car"/>
    <w:link w:val="Prrafodelista"/>
    <w:uiPriority w:val="34"/>
    <w:locked/>
    <w:rsid w:val="00A11BE4"/>
  </w:style>
  <w:style w:type="character" w:styleId="Hipervnculo">
    <w:name w:val="Hyperlink"/>
    <w:basedOn w:val="Fuentedeprrafopredeter"/>
    <w:uiPriority w:val="99"/>
    <w:unhideWhenUsed/>
    <w:rsid w:val="00EB503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B503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044C95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rsid w:val="00044C95"/>
  </w:style>
  <w:style w:type="paragraph" w:styleId="Piedepgina">
    <w:name w:val="footer"/>
    <w:basedOn w:val="Normal"/>
    <w:link w:val="PiedepginaCar"/>
    <w:uiPriority w:val="99"/>
    <w:unhideWhenUsed/>
    <w:rsid w:val="00044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C95"/>
  </w:style>
  <w:style w:type="paragraph" w:customStyle="1" w:styleId="Standard">
    <w:name w:val="Standard"/>
    <w:rsid w:val="00E176A7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s-CO" w:eastAsia="zh-CN" w:bidi="hi-IN"/>
    </w:rPr>
  </w:style>
  <w:style w:type="table" w:styleId="Tablaconcuadrcula">
    <w:name w:val="Table Grid"/>
    <w:basedOn w:val="Tablanormal"/>
    <w:uiPriority w:val="39"/>
    <w:rsid w:val="00EB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92D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53DA"/>
    <w:rPr>
      <w:color w:val="954F72" w:themeColor="followedHyperlink"/>
      <w:u w:val="single"/>
    </w:rPr>
  </w:style>
  <w:style w:type="paragraph" w:customStyle="1" w:styleId="p1">
    <w:name w:val="p1"/>
    <w:basedOn w:val="Normal"/>
    <w:rsid w:val="0047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4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8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22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2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waponline.com/ws/article/23/9/3597/97011/Precipitation-prediction-based-on-CEEMDAN-VM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arxiv.org/abs/2310.08278" TargetMode="External"/><Relationship Id="rId19" Type="http://schemas.openxmlformats.org/officeDocument/2006/relationships/hyperlink" Target="https://github.com/jdmogollono/precipitation-forecast-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waponline.com/aqua/article/71/1/1/85741/Rainfall-prediction-optimization-model-in-ten-day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B663D-EB2C-45B5-937A-75475D12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Mogollon Oviedo</dc:creator>
  <cp:keywords/>
  <dc:description/>
  <cp:lastModifiedBy>Juan Diego Mogollón Oviedo</cp:lastModifiedBy>
  <cp:revision>512</cp:revision>
  <cp:lastPrinted>2025-01-28T19:59:00Z</cp:lastPrinted>
  <dcterms:created xsi:type="dcterms:W3CDTF">2024-09-21T17:14:00Z</dcterms:created>
  <dcterms:modified xsi:type="dcterms:W3CDTF">2025-06-24T01:06:00Z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2024-02-25T18:12:10Z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f80268ee-d0d8-4f30-965f-57e82b49194b</vt:lpwstr>
  </property>
  <property fmtid="{D5CDD505-2E9C-101B-9397-08002B2CF9AE}" pid="8" name="MSIP_Label_defa4170-0d19-0005-0004-bc88714345d2_ContentBits">
    <vt:lpwstr>0</vt:lpwstr>
  </property>
</Properties>
</file>