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영업 (1~3년차, F5 AR/TAR 한 줄 요약형)</w:t>
        <w:br/>
        <w:t>정하늘 · 공기업→사기업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△△공사 (에너지 공기업)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영업관리팀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2023.10 ~ 2026.04 (2년 7개월)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담당: 수도권 남부 산업단지 B2B 산업체 고객 영업 (담당 거래처 약 80개사)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 및 성과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(거래처 관리) 담당 80개사 사용량 추이 분기 단위 분석 및 증설·신규 라인 정보 기반 추가 공급 제안 영업으로 </w:t>
      </w:r>
      <w:r>
        <w:rPr>
          <w:rFonts w:ascii="Arial" w:hAnsi="Arial" w:eastAsia="맑은 고딕" w:cs="Arial"/>
          <w:b/>
          <w:sz w:val="21"/>
        </w:rPr>
        <w:t>담당 거래처 매출 전년 대비 12% 증대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(신규 개척) 산업단지 관리공단 입주 예정 자료 사전 확보 및 경쟁 에너지원(LPG·중유) 사용 기업 대상 전환 영업으로 </w:t>
      </w:r>
      <w:r>
        <w:rPr>
          <w:rFonts w:ascii="Arial" w:hAnsi="Arial" w:eastAsia="맑은 고딕" w:cs="Arial"/>
          <w:b/>
          <w:sz w:val="21"/>
        </w:rPr>
        <w:t>신규 거래처 8곳 개척 (2년 누적)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(프로모션) 2025년 2분기 신규 개척 프로모션에서 신규 입주 기업 사전 미팅 선점 및 설비 셋업 일정 맞춤 제안서 전략으로 </w:t>
      </w:r>
      <w:r>
        <w:rPr>
          <w:rFonts w:ascii="Arial" w:hAnsi="Arial" w:eastAsia="맑은 고딕" w:cs="Arial"/>
          <w:b/>
          <w:sz w:val="21"/>
        </w:rPr>
        <w:t>KPI 130% 달성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(VOC 대응) VOC 처리 SLA 자체 관리표 운영 및 컴플레인 패턴 유형화 기반 사전 예방 안내로 </w:t>
      </w:r>
      <w:r>
        <w:rPr>
          <w:rFonts w:ascii="Arial" w:hAnsi="Arial" w:eastAsia="맑은 고딕" w:cs="Arial"/>
          <w:b/>
          <w:sz w:val="21"/>
        </w:rPr>
        <w:t>거래처 만족도 4.2점에서 4.6점으로 향상</w:t>
      </w:r>
      <w:r>
        <w:rPr>
          <w:rFonts w:ascii="Arial" w:hAnsi="Arial" w:eastAsia="맑은 고딕" w:cs="Arial"/>
          <w:b w:val="0"/>
          <w:sz w:val="21"/>
        </w:rPr>
        <w:t>, VOC 평균 처리 기간 7일에서 3일로 단축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(채권 관리) CRM 신용등급별 차등 점검 주기 운영 및 미수 사유 유형별 회수 시나리오 적용으로 </w:t>
      </w:r>
      <w:r>
        <w:rPr>
          <w:rFonts w:ascii="Arial" w:hAnsi="Arial" w:eastAsia="맑은 고딕" w:cs="Arial"/>
          <w:b/>
          <w:sz w:val="21"/>
        </w:rPr>
        <w:t>담당 거래처 수금률 99% 유지</w:t>
      </w:r>
      <w:r>
        <w:rPr>
          <w:rFonts w:ascii="Arial" w:hAnsi="Arial" w:eastAsia="맑은 고딕" w:cs="Arial"/>
          <w:b w:val="0"/>
          <w:sz w:val="21"/>
        </w:rPr>
        <w:t>, 미수채권 회수 기간 평균 25% 단축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(전환 영업) 경쟁 에너지원 사용 기업 대상 단가 시뮬레이션·공급 안정성 자료를 거래처별 사용 패턴에 맞춰 커스터마이징, 시범 공급 후 실사용 데이터 비교 제안으로 </w:t>
      </w:r>
      <w:r>
        <w:rPr>
          <w:rFonts w:ascii="Arial" w:hAnsi="Arial" w:eastAsia="맑은 고딕" w:cs="Arial"/>
          <w:b/>
          <w:sz w:val="21"/>
        </w:rPr>
        <w:t>전환 영업 본계약 전환율 60% 이상 유지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적용 역량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B2B 영업 사이클 운영 (리드 발굴·제안·클로징·사후관리)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CRM 활용 거래처 데이터 분석 및 파이프라인 관리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산업체·산업단지 거래처 협상 및 장기 관계 관리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공기업 공급 프로세스 기반 단가·계약 협상 실무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