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36" w:lineRule="auto" w:before="240" w:after="240"/>
        <w:jc w:val="center"/>
      </w:pPr>
      <w:r>
        <w:rPr>
          <w:rFonts w:ascii="Arial" w:hAnsi="Arial" w:eastAsia="맑은 고딕" w:cs="Arial"/>
          <w:b/>
          <w:sz w:val="28"/>
        </w:rPr>
        <w:t>경력기술서 - IT개발 (4~6년차, F3 프로젝트 단위형)</w:t>
        <w:br/>
        <w:t>김도윤 · 사기업→공기업</w:t>
      </w:r>
    </w:p>
    <w:p>
      <w:pPr>
        <w:spacing w:line="240" w:lineRule="auto" w:before="0" w:after="0"/>
      </w:pPr>
    </w:p>
    <w:p>
      <w:pPr>
        <w:spacing w:line="336" w:lineRule="auto" w:before="80" w:after="80"/>
      </w:pPr>
      <w:r>
        <w:rPr>
          <w:rFonts w:ascii="Arial" w:hAnsi="Arial" w:eastAsia="맑은 고딕" w:cs="Arial"/>
          <w:b/>
          <w:sz w:val="22"/>
        </w:rPr>
        <w:t>[△△소프트 / SI업계 (금융·공공 SI) / 백엔드 개발팀 / 대리]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재직기간: 2021.02 ~ 2026.04 (5년 2개월)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학력: OO대학교 컴퓨터공학과 학사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[Project 1] 금융권 차세대 코어뱅킹 시스템 구축 (2023.05 ~ 2024.12, 20개월)</w:t>
      </w:r>
    </w:p>
    <w:p>
      <w:pPr>
        <w:spacing w:line="240" w:lineRule="auto" w:before="0" w:after="0"/>
      </w:pPr>
    </w:p>
    <w:p>
      <w:pPr>
        <w:spacing w:line="336" w:lineRule="auto" w:before="120" w:after="80"/>
      </w:pPr>
      <w:r>
        <w:rPr>
          <w:rFonts w:ascii="Arial" w:hAnsi="Arial" w:eastAsia="맑은 고딕" w:cs="Arial"/>
          <w:b/>
          <w:sz w:val="23"/>
        </w:rPr>
        <w:t>1. 목표</w:t>
      </w:r>
    </w:p>
    <w:p>
      <w:pPr>
        <w:spacing w:line="336" w:lineRule="auto" w:before="0" w:after="80"/>
        <w:ind w:left="454"/>
      </w:pPr>
      <w:r>
        <w:rPr>
          <w:rFonts w:ascii="Arial" w:hAnsi="Arial" w:eastAsia="맑은 고딕" w:cs="Arial"/>
          <w:b w:val="0"/>
          <w:sz w:val="21"/>
        </w:rPr>
        <w:t>- 노후 메인프레임 기반 코어뱅킹 시스템을 MSA 아키텍처로 전환</w:t>
      </w:r>
    </w:p>
    <w:p>
      <w:pPr>
        <w:spacing w:line="336" w:lineRule="auto" w:before="0" w:after="80"/>
        <w:ind w:left="454"/>
      </w:pPr>
      <w:r>
        <w:rPr>
          <w:rFonts w:ascii="Arial" w:hAnsi="Arial" w:eastAsia="맑은 고딕" w:cs="Arial"/>
          <w:b w:val="0"/>
          <w:sz w:val="21"/>
        </w:rPr>
        <w:t>- 일 트랜잭션 800만 건 안정 처리 및 핵심 API 응답 성능 50% 이상 개선</w:t>
      </w:r>
    </w:p>
    <w:p>
      <w:pPr>
        <w:spacing w:line="336" w:lineRule="auto" w:before="120" w:after="80"/>
      </w:pPr>
      <w:r>
        <w:rPr>
          <w:rFonts w:ascii="Arial" w:hAnsi="Arial" w:eastAsia="맑은 고딕" w:cs="Arial"/>
          <w:b/>
          <w:sz w:val="23"/>
        </w:rPr>
        <w:t>2. 역할</w:t>
      </w:r>
    </w:p>
    <w:p>
      <w:pPr>
        <w:spacing w:line="336" w:lineRule="auto" w:before="0" w:after="80"/>
        <w:ind w:left="454"/>
      </w:pPr>
      <w:r>
        <w:rPr>
          <w:rFonts w:ascii="Arial" w:hAnsi="Arial" w:eastAsia="맑은 고딕" w:cs="Arial"/>
          <w:b w:val="0"/>
          <w:sz w:val="21"/>
        </w:rPr>
        <w:t>- 계좌·이체 도메인 백엔드 개발 담당 (전체 28명 중 백엔드 8명, 그 중 시니어 개발 파트)</w:t>
      </w:r>
    </w:p>
    <w:p>
      <w:pPr>
        <w:spacing w:line="336" w:lineRule="auto" w:before="0" w:after="80"/>
        <w:ind w:left="454"/>
      </w:pPr>
      <w:r>
        <w:rPr>
          <w:rFonts w:ascii="Arial" w:hAnsi="Arial" w:eastAsia="맑은 고딕" w:cs="Arial"/>
          <w:b w:val="0"/>
          <w:sz w:val="21"/>
        </w:rPr>
        <w:t>- 성능 개선 TF 참여 및 주니어 2명 코드 리뷰 담당</w:t>
      </w:r>
    </w:p>
    <w:p>
      <w:pPr>
        <w:spacing w:line="336" w:lineRule="auto" w:before="120" w:after="80"/>
      </w:pPr>
      <w:r>
        <w:rPr>
          <w:rFonts w:ascii="Arial" w:hAnsi="Arial" w:eastAsia="맑은 고딕" w:cs="Arial"/>
          <w:b/>
          <w:sz w:val="23"/>
        </w:rPr>
        <w:t>3. 역할 내 전략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(아키텍처 설계) DDD 기반 도메인 경계 식별 후 Aggregate 단위로 서비스 분리하여 독립 배포 단위 확보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(성능 최적화) APM(Pinpoint) 기반 병목 구간 분석, 슬로우 쿼리 Top 20 인덱스 재설계 및 N+1 쿼리 제거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(캐시 전략) 조회성 트랜잭션에 Redis 캐시 적용, TTL·무효화 정책을 도메인별로 차등 설계하여 정합성 확보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(테스트 자동화) Testcontainers 기반 통합 테스트 환경 구축으로 회귀 검증 강화 및 결함 조기 발견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(안정성 검증) JMeter 부하 테스트 시나리오 자체 작성 후 임계점 측정·튜닝하여 배포 전 리스크 사전 차단</w:t>
      </w:r>
    </w:p>
    <w:p>
      <w:pPr>
        <w:spacing w:line="336" w:lineRule="auto" w:before="120" w:after="80"/>
      </w:pPr>
      <w:r>
        <w:rPr>
          <w:rFonts w:ascii="Arial" w:hAnsi="Arial" w:eastAsia="맑은 고딕" w:cs="Arial"/>
          <w:b/>
          <w:sz w:val="23"/>
        </w:rPr>
        <w:t>4. 성과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 w:val="0"/>
          <w:sz w:val="22"/>
        </w:rPr>
        <w:t xml:space="preserve">• </w:t>
      </w:r>
      <w:r>
        <w:rPr>
          <w:rFonts w:ascii="Arial" w:hAnsi="Arial" w:eastAsia="맑은 고딕" w:cs="Arial"/>
          <w:b/>
          <w:sz w:val="22"/>
        </w:rPr>
        <w:t>API 평균 응답 시간 1.2초 → 480ms (60% 단축)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 w:val="0"/>
          <w:sz w:val="22"/>
        </w:rPr>
        <w:t xml:space="preserve">• </w:t>
      </w:r>
      <w:r>
        <w:rPr>
          <w:rFonts w:ascii="Arial" w:hAnsi="Arial" w:eastAsia="맑은 고딕" w:cs="Arial"/>
          <w:b/>
          <w:sz w:val="22"/>
        </w:rPr>
        <w:t>이체 트랜잭션 처리량 TPS 1,200 → 2,800 (133% 향상)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 w:val="0"/>
          <w:sz w:val="22"/>
        </w:rPr>
        <w:t xml:space="preserve">• </w:t>
      </w:r>
      <w:r>
        <w:rPr>
          <w:rFonts w:ascii="Arial" w:hAnsi="Arial" w:eastAsia="맑은 고딕" w:cs="Arial"/>
          <w:b/>
          <w:sz w:val="22"/>
        </w:rPr>
        <w:t>운영 전환 후 6개월간 무중단 가동, 핵심 장애 0건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 w:val="0"/>
          <w:sz w:val="22"/>
        </w:rPr>
        <w:t xml:space="preserve">• </w:t>
      </w:r>
      <w:r>
        <w:rPr>
          <w:rFonts w:ascii="Arial" w:hAnsi="Arial" w:eastAsia="맑은 고딕" w:cs="Arial"/>
          <w:b/>
          <w:sz w:val="22"/>
        </w:rPr>
        <w:t>사내 기술 세미나 발표(성능 튜닝 사례) — 표준 가이드로 채택</w:t>
      </w:r>
    </w:p>
    <w:p>
      <w:pPr>
        <w:spacing w:line="336" w:lineRule="auto" w:before="120" w:after="80"/>
      </w:pPr>
      <w:r>
        <w:rPr>
          <w:rFonts w:ascii="Arial" w:hAnsi="Arial" w:eastAsia="맑은 고딕" w:cs="Arial"/>
          <w:b/>
          <w:sz w:val="23"/>
        </w:rPr>
        <w:t>5. 적용 기술/지식</w:t>
      </w:r>
    </w:p>
    <w:p>
      <w:pPr>
        <w:spacing w:line="336" w:lineRule="auto" w:before="0" w:after="80"/>
        <w:ind w:left="454"/>
      </w:pPr>
      <w:r>
        <w:rPr>
          <w:rFonts w:ascii="Arial" w:hAnsi="Arial" w:eastAsia="맑은 고딕" w:cs="Arial"/>
          <w:b w:val="0"/>
          <w:sz w:val="21"/>
        </w:rPr>
        <w:t>- Java 17, Spring Boot 3.x, Spring Cloud, JPA(Hibernate), Kafka, Redis, MySQL</w:t>
      </w:r>
    </w:p>
    <w:p>
      <w:pPr>
        <w:spacing w:line="336" w:lineRule="auto" w:before="0" w:after="80"/>
        <w:ind w:left="454"/>
      </w:pPr>
      <w:r>
        <w:rPr>
          <w:rFonts w:ascii="Arial" w:hAnsi="Arial" w:eastAsia="맑은 고딕" w:cs="Arial"/>
          <w:b w:val="0"/>
          <w:sz w:val="21"/>
        </w:rPr>
        <w:t>- APM(Pinpoint), JMeter, Testcontainers, Docker, Kubernetes</w:t>
      </w:r>
    </w:p>
    <w:p>
      <w:pPr>
        <w:spacing w:line="336" w:lineRule="auto" w:before="0" w:after="80"/>
        <w:ind w:left="454"/>
      </w:pPr>
      <w:r>
        <w:rPr>
          <w:rFonts w:ascii="Arial" w:hAnsi="Arial" w:eastAsia="맑은 고딕" w:cs="Arial"/>
          <w:b w:val="0"/>
          <w:sz w:val="21"/>
        </w:rPr>
        <w:t>- DDD, MSA, 무중단 배포(Blue-Green)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[Project 2] 공공기관 통합민원시스템 고도화 (2025.01 ~ 2026.03, 15개월)</w:t>
      </w:r>
    </w:p>
    <w:p>
      <w:pPr>
        <w:spacing w:line="240" w:lineRule="auto" w:before="0" w:after="0"/>
      </w:pPr>
    </w:p>
    <w:p>
      <w:pPr>
        <w:spacing w:line="336" w:lineRule="auto" w:before="120" w:after="80"/>
      </w:pPr>
      <w:r>
        <w:rPr>
          <w:rFonts w:ascii="Arial" w:hAnsi="Arial" w:eastAsia="맑은 고딕" w:cs="Arial"/>
          <w:b/>
          <w:sz w:val="23"/>
        </w:rPr>
        <w:t>1. 목표</w:t>
      </w:r>
    </w:p>
    <w:p>
      <w:pPr>
        <w:spacing w:line="336" w:lineRule="auto" w:before="0" w:after="80"/>
        <w:ind w:left="454"/>
      </w:pPr>
      <w:r>
        <w:rPr>
          <w:rFonts w:ascii="Arial" w:hAnsi="Arial" w:eastAsia="맑은 고딕" w:cs="Arial"/>
          <w:b w:val="0"/>
          <w:sz w:val="21"/>
        </w:rPr>
        <w:t>- 노후 통합민원시스템의 클라우드 네이티브 전환 및 운영 안정성 확보</w:t>
      </w:r>
    </w:p>
    <w:p>
      <w:pPr>
        <w:spacing w:line="336" w:lineRule="auto" w:before="0" w:after="80"/>
        <w:ind w:left="454"/>
      </w:pPr>
      <w:r>
        <w:rPr>
          <w:rFonts w:ascii="Arial" w:hAnsi="Arial" w:eastAsia="맑은 고딕" w:cs="Arial"/>
          <w:b w:val="0"/>
          <w:sz w:val="21"/>
        </w:rPr>
        <w:t>- 전자정부 표준프레임워크 호환 유지 및 KISA 보안 기준 충족</w:t>
      </w:r>
    </w:p>
    <w:p>
      <w:pPr>
        <w:spacing w:line="336" w:lineRule="auto" w:before="120" w:after="80"/>
      </w:pPr>
      <w:r>
        <w:rPr>
          <w:rFonts w:ascii="Arial" w:hAnsi="Arial" w:eastAsia="맑은 고딕" w:cs="Arial"/>
          <w:b/>
          <w:sz w:val="23"/>
        </w:rPr>
        <w:t>2. 역할</w:t>
      </w:r>
    </w:p>
    <w:p>
      <w:pPr>
        <w:spacing w:line="336" w:lineRule="auto" w:before="0" w:after="80"/>
        <w:ind w:left="454"/>
      </w:pPr>
      <w:r>
        <w:rPr>
          <w:rFonts w:ascii="Arial" w:hAnsi="Arial" w:eastAsia="맑은 고딕" w:cs="Arial"/>
          <w:b w:val="0"/>
          <w:sz w:val="21"/>
        </w:rPr>
        <w:t>- 백엔드 개발 및 DevOps 파트 리드 (전체 22명 중 백엔드·인프라 7명 인솔)</w:t>
      </w:r>
    </w:p>
    <w:p>
      <w:pPr>
        <w:spacing w:line="336" w:lineRule="auto" w:before="0" w:after="80"/>
        <w:ind w:left="454"/>
      </w:pPr>
      <w:r>
        <w:rPr>
          <w:rFonts w:ascii="Arial" w:hAnsi="Arial" w:eastAsia="맑은 고딕" w:cs="Arial"/>
          <w:b w:val="0"/>
          <w:sz w:val="21"/>
        </w:rPr>
        <w:t>- 발주처 협의 및 주간 산출물 보고 담당</w:t>
      </w:r>
    </w:p>
    <w:p>
      <w:pPr>
        <w:spacing w:line="336" w:lineRule="auto" w:before="120" w:after="80"/>
      </w:pPr>
      <w:r>
        <w:rPr>
          <w:rFonts w:ascii="Arial" w:hAnsi="Arial" w:eastAsia="맑은 고딕" w:cs="Arial"/>
          <w:b/>
          <w:sz w:val="23"/>
        </w:rPr>
        <w:t>3. 역할 내 전략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(표준 준수) 전자정부 표준프레임워크 4.x 기반 개발, 행정정보공동이용·공공기관 연계 표준 인터페이스 적용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(CI/CD 표준화) GitLab CI 기반 빌드·배포 파이프라인 구축, Blue-Green 무중단 배포 도입으로 서비스 중단 시간 제로화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(운영 모니터링) ELK 통합 로그 체계 및 Prometheus/Grafana 대시보드 구축, 장애 유형별 자동 알림 라우팅 설계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(장애 대응 체계화) 장애 런북 작성 및 분기별 회고 정례화, 초기 분류 자동화로 1차 대응 시간 단축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(보안 강화) OWASP Top 10 대응 시큐어 코딩 가이드 적용, SonarQube 룰셋 커스터마이징 및 Fortify 진단 결과 기반 우선순위 패치</w:t>
      </w:r>
    </w:p>
    <w:p>
      <w:pPr>
        <w:spacing w:line="336" w:lineRule="auto" w:before="120" w:after="80"/>
      </w:pPr>
      <w:r>
        <w:rPr>
          <w:rFonts w:ascii="Arial" w:hAnsi="Arial" w:eastAsia="맑은 고딕" w:cs="Arial"/>
          <w:b/>
          <w:sz w:val="23"/>
        </w:rPr>
        <w:t>4. 성과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 w:val="0"/>
          <w:sz w:val="22"/>
        </w:rPr>
        <w:t xml:space="preserve">• </w:t>
      </w:r>
      <w:r>
        <w:rPr>
          <w:rFonts w:ascii="Arial" w:hAnsi="Arial" w:eastAsia="맑은 고딕" w:cs="Arial"/>
          <w:b/>
          <w:sz w:val="22"/>
        </w:rPr>
        <w:t>배포 소요 시간 평균 35분 → 10분 (70% 단축)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 w:val="0"/>
          <w:sz w:val="22"/>
        </w:rPr>
        <w:t xml:space="preserve">• </w:t>
      </w:r>
      <w:r>
        <w:rPr>
          <w:rFonts w:ascii="Arial" w:hAnsi="Arial" w:eastAsia="맑은 고딕" w:cs="Arial"/>
          <w:b/>
          <w:sz w:val="22"/>
        </w:rPr>
        <w:t>장애 평균 복구 시간(MTTR) 50분 → 30분 (40% 단축)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 w:val="0"/>
          <w:sz w:val="22"/>
        </w:rPr>
        <w:t xml:space="preserve">• </w:t>
      </w:r>
      <w:r>
        <w:rPr>
          <w:rFonts w:ascii="Arial" w:hAnsi="Arial" w:eastAsia="맑은 고딕" w:cs="Arial"/>
          <w:b/>
          <w:sz w:val="22"/>
        </w:rPr>
        <w:t>운영 전환 후 동일 유형 반복 장애 0건, 가동률 99.95% 달성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 w:val="0"/>
          <w:sz w:val="22"/>
        </w:rPr>
        <w:t xml:space="preserve">• </w:t>
      </w:r>
      <w:r>
        <w:rPr>
          <w:rFonts w:ascii="Arial" w:hAnsi="Arial" w:eastAsia="맑은 고딕" w:cs="Arial"/>
          <w:b/>
          <w:sz w:val="22"/>
        </w:rPr>
        <w:t>KISA 보안 점검 1차 통과 (취약점 0건), 발주처 우수 사례 보고</w:t>
      </w:r>
    </w:p>
    <w:p>
      <w:pPr>
        <w:spacing w:line="336" w:lineRule="auto" w:before="120" w:after="80"/>
      </w:pPr>
      <w:r>
        <w:rPr>
          <w:rFonts w:ascii="Arial" w:hAnsi="Arial" w:eastAsia="맑은 고딕" w:cs="Arial"/>
          <w:b/>
          <w:sz w:val="23"/>
        </w:rPr>
        <w:t>5. 적용 기술/지식</w:t>
      </w:r>
    </w:p>
    <w:p>
      <w:pPr>
        <w:spacing w:line="336" w:lineRule="auto" w:before="0" w:after="80"/>
        <w:ind w:left="454"/>
      </w:pPr>
      <w:r>
        <w:rPr>
          <w:rFonts w:ascii="Arial" w:hAnsi="Arial" w:eastAsia="맑은 고딕" w:cs="Arial"/>
          <w:b w:val="0"/>
          <w:sz w:val="21"/>
        </w:rPr>
        <w:t>- 전자정부 표준프레임워크 4.x, Spring Boot, JPA, MariaDB</w:t>
      </w:r>
    </w:p>
    <w:p>
      <w:pPr>
        <w:spacing w:line="336" w:lineRule="auto" w:before="0" w:after="80"/>
        <w:ind w:left="454"/>
      </w:pPr>
      <w:r>
        <w:rPr>
          <w:rFonts w:ascii="Arial" w:hAnsi="Arial" w:eastAsia="맑은 고딕" w:cs="Arial"/>
          <w:b w:val="0"/>
          <w:sz w:val="21"/>
        </w:rPr>
        <w:t>- Docker, Kubernetes, Helm, GitLab CI, Argo CD</w:t>
      </w:r>
    </w:p>
    <w:p>
      <w:pPr>
        <w:spacing w:line="336" w:lineRule="auto" w:before="0" w:after="80"/>
        <w:ind w:left="454"/>
      </w:pPr>
      <w:r>
        <w:rPr>
          <w:rFonts w:ascii="Arial" w:hAnsi="Arial" w:eastAsia="맑은 고딕" w:cs="Arial"/>
          <w:b w:val="0"/>
          <w:sz w:val="21"/>
        </w:rPr>
        <w:t>- ELK Stack, Prometheus, Grafana, SonarQube, Fortify</w:t>
      </w:r>
    </w:p>
    <w:p>
      <w:pPr>
        <w:spacing w:line="336" w:lineRule="auto" w:before="0" w:after="80"/>
        <w:ind w:left="454"/>
      </w:pPr>
      <w:r>
        <w:rPr>
          <w:rFonts w:ascii="Arial" w:hAnsi="Arial" w:eastAsia="맑은 고딕" w:cs="Arial"/>
          <w:b w:val="0"/>
          <w:sz w:val="21"/>
        </w:rPr>
        <w:t>- 행정정보공동이용 연계 표준, 공공 SI 보안 가이드(KISA)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