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Halcyon — Complete System Architecture &amp; Operational Guide</w:t>
      </w:r>
    </w:p>
    <w:p>
      <w:pPr>
        <w:pStyle w:val="Callout"/>
      </w:pPr>
      <w:r>
        <w:rPr>
          <w:b/>
        </w:rPr>
        <w:t xml:space="preserve">Purpose:</w:t>
      </w:r>
      <w:r>
        <w:t xml:space="preserve"> This document is a comprehensive, deep-dive guide to the Halcyon personal finance engine. It is designed to bridge the gap between high-level product design and low-level code mechanics, explaining how each subsystem works, why it was built that way, and how data flows through the application.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Table of Contents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color w:val="11B596"/>
          <w:u w:val="single"/>
        </w:rPr>
        <w:t xml:space="preserve">Executive Summary &amp; High-Level Mental Model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color w:val="11B596"/>
          <w:u w:val="single"/>
        </w:rPr>
        <w:t xml:space="preserve">The Core Architectural Principles ("The Laws")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rPr>
          <w:color w:val="11B596"/>
          <w:u w:val="single"/>
        </w:rPr>
        <w:t xml:space="preserve">System Topology &amp; High-Level Data Flow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4. </w:t>
      </w:r>
      <w:r>
        <w:rPr>
          <w:color w:val="11B596"/>
          <w:u w:val="single"/>
        </w:rPr>
        <w:t xml:space="preserve">Frontend Architecture (`app/src/`)</w:t>
      </w:r>
    </w:p>
    <w:p>
      <w:pPr>
        <w:numPr>
          <w:ilvl w:val="0"/>
          <w:numId w:val="1"/>
        </w:numPr>
        <w:spacing w:after="80" w:before="0"/>
      </w:pPr>
      <w:r>
        <w:t xml:space="preserve">4.1 State Management &amp; Context Pipeline</w:t>
      </w:r>
    </w:p>
    <w:p>
      <w:pPr>
        <w:numPr>
          <w:ilvl w:val="0"/>
          <w:numId w:val="1"/>
        </w:numPr>
        <w:spacing w:after="80" w:before="0"/>
      </w:pPr>
      <w:r>
        <w:t xml:space="preserve">4.2 Routing, Shell, and Navigation</w:t>
      </w:r>
    </w:p>
    <w:p>
      <w:pPr>
        <w:numPr>
          <w:ilvl w:val="0"/>
          <w:numId w:val="1"/>
        </w:numPr>
        <w:spacing w:after="80" w:before="0"/>
      </w:pPr>
      <w:r>
        <w:t xml:space="preserve">4.3 The Dual-Animation Engine Boundary</w:t>
      </w:r>
    </w:p>
    <w:p>
      <w:pPr>
        <w:numPr>
          <w:ilvl w:val="0"/>
          <w:numId w:val="1"/>
        </w:numPr>
        <w:spacing w:after="80" w:before="0"/>
      </w:pPr>
      <w:r>
        <w:t xml:space="preserve">4.4 Design System &amp; Token Architecture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5. </w:t>
      </w:r>
      <w:r>
        <w:rPr>
          <w:color w:val="11B596"/>
          <w:u w:val="single"/>
        </w:rPr>
        <w:t xml:space="preserve">Backend &amp; Database Architecture (`supabase/`)</w:t>
      </w:r>
    </w:p>
    <w:p>
      <w:pPr>
        <w:numPr>
          <w:ilvl w:val="0"/>
          <w:numId w:val="1"/>
        </w:numPr>
        <w:spacing w:after="80" w:before="0"/>
      </w:pPr>
      <w:r>
        <w:t xml:space="preserve">5.1 Multi-Tenant Postgres Schema &amp; Isolation Model</w:t>
      </w:r>
    </w:p>
    <w:p>
      <w:pPr>
        <w:numPr>
          <w:ilvl w:val="0"/>
          <w:numId w:val="1"/>
        </w:numPr>
        <w:spacing w:after="80" w:before="0"/>
      </w:pPr>
      <w:r>
        <w:t xml:space="preserve">5.2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withAuth</w:t>
      </w:r>
      <w:r>
        <w:t xml:space="preserve"> Edge Function Pipeline</w:t>
      </w:r>
    </w:p>
    <w:p>
      <w:pPr>
        <w:numPr>
          <w:ilvl w:val="0"/>
          <w:numId w:val="1"/>
        </w:numPr>
        <w:spacing w:after="80" w:before="0"/>
      </w:pPr>
      <w:r>
        <w:t xml:space="preserve">5.3 Row-Level Security (RLS) &amp;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transactions_analytic</w:t>
      </w:r>
      <w:r>
        <w:t xml:space="preserve"> View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6. </w:t>
      </w:r>
      <w:r>
        <w:rPr>
          <w:color w:val="11B596"/>
          <w:u w:val="single"/>
        </w:rPr>
        <w:t xml:space="preserve">Deep-Dive Subsystems &amp; Execution Flows</w:t>
      </w:r>
    </w:p>
    <w:p>
      <w:pPr>
        <w:numPr>
          <w:ilvl w:val="0"/>
          <w:numId w:val="1"/>
        </w:numPr>
        <w:spacing w:after="80" w:before="0"/>
      </w:pPr>
      <w:r>
        <w:t xml:space="preserve">6.1 Data Ingestion &amp; Deduplication Pipeline (CSV &amp; Up Bank API)</w:t>
      </w:r>
    </w:p>
    <w:p>
      <w:pPr>
        <w:numPr>
          <w:ilvl w:val="0"/>
          <w:numId w:val="1"/>
        </w:numPr>
        <w:spacing w:after="80" w:before="0"/>
      </w:pPr>
      <w:r>
        <w:t xml:space="preserve">6.2 Intelligent Multi-Tier Categorization Engine</w:t>
      </w:r>
    </w:p>
    <w:p>
      <w:pPr>
        <w:numPr>
          <w:ilvl w:val="0"/>
          <w:numId w:val="1"/>
        </w:numPr>
        <w:spacing w:after="80" w:before="0"/>
      </w:pPr>
      <w:r>
        <w:t xml:space="preserve">6.3 The Transfer Linker ("Osko Linker") Engine</w:t>
      </w:r>
    </w:p>
    <w:p>
      <w:pPr>
        <w:numPr>
          <w:ilvl w:val="0"/>
          <w:numId w:val="1"/>
        </w:numPr>
        <w:spacing w:after="80" w:before="0"/>
      </w:pPr>
      <w:r>
        <w:t xml:space="preserve">6.4 Recurring Commitments &amp; AI Recurrence Hints</w:t>
      </w:r>
    </w:p>
    <w:p>
      <w:pPr>
        <w:numPr>
          <w:ilvl w:val="0"/>
          <w:numId w:val="1"/>
        </w:numPr>
        <w:spacing w:after="80" w:before="0"/>
      </w:pPr>
      <w:r>
        <w:t xml:space="preserve">6.5 Investment Accounting &amp; Multi-Asset Valuation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7. </w:t>
      </w:r>
      <w:r>
        <w:rPr>
          <w:color w:val="11B596"/>
          <w:u w:val="single"/>
        </w:rPr>
        <w:t xml:space="preserve">Directory &amp; Component Reference Map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8. </w:t>
      </w:r>
      <w:r>
        <w:rPr>
          <w:color w:val="11B596"/>
          <w:u w:val="single"/>
        </w:rPr>
        <w:t xml:space="preserve">Runbook: Testing, Maintenance &amp; Common Pitfalls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1. Executive Summary &amp; High-Level Mental Model</w:t>
      </w:r>
    </w:p>
    <w:p>
      <w:pPr>
        <w:pStyle w:val="Heading2"/>
      </w:pPr>
      <w:r>
        <w:t xml:space="preserve">What is Halcyon?</w:t>
      </w:r>
    </w:p>
    <w:p>
      <w:r>
        <w:t xml:space="preserve">Halcyon is a minimalist, high-integrity personal finance and multi-asset tracking platform designed for the Australian financial ecosystem. Unlike traditional budgeting apps that rely on intrusive chatbot interactions or basic spreadsheets, Halcyon combines </w:t>
      </w:r>
      <w:r>
        <w:rPr>
          <w:b/>
        </w:rPr>
        <w:t xml:space="preserve">editorial-grade UI aesthetics</w:t>
      </w:r>
      <w:r>
        <w:t xml:space="preserve"> (cinematic letterboxing, frosted glass, typography-focused data presentation) with </w:t>
      </w:r>
      <w:r>
        <w:rPr>
          <w:b/>
        </w:rPr>
        <w:t xml:space="preserve">mathematically strict financial calculations</w:t>
      </w:r>
      <w:r>
        <w:t xml:space="preserve"> and an </w:t>
      </w:r>
      <w:r>
        <w:rPr>
          <w:b/>
        </w:rPr>
        <w:t xml:space="preserve">ironclad security model</w:t>
      </w:r>
      <w:r>
        <w:t xml:space="preserve">.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                           HALCYON MENTAL MODEL                       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                                                                      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1. RAW INGESTION          2. NORMALIZATION         3. CLASSIFICATION  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┌────────────────┐        ┌────────────────┐       ┌─────────────────┐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CSV File Drop  │───┐    │ Cent Convert   │       │ User Override   │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Up Bank API    │───┼───&gt;│ Hash Dedup     │──────&gt;│ Bank Map Tier   │──┐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Vanguard NAV   │───┘    │ Date Format    │       │ AI Tier (Gemini)│  │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└────────────────┘        └────────────────┘       └─────────────────┘  │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                                                                        │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6. ANALYTICS &amp; UI         5. LINKING &amp; MERGING     4. DURABLE LEDGER    │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┌────────────────┐        ┌────────────────┐       ┌─────────────────┐  │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Pacing Rail    │&lt;───────│ Osko Transfer  │&lt;──────│ Postgres + RLS  │&lt;─┘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Recurring Hub  │        │ Investment Cash│       │ (Tenant Scoped) │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│ Net Worth Chart│        │ Splitting      │       │                 │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└────────────────┘        └────────────────┘       └─────────────────┘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│                                                                             │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Key Architectural Pillars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Decoupled Client-Backend:</w:t>
      </w:r>
      <w:r>
        <w:t xml:space="preserve"> A Vite + React 18 Single Page Application (SPA) communicating directly with a Supabase PostgreSQL instance via PostgREST for reads and Deno Edge Functions for secured mutations.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Deterministic-First, AI-Second:</w:t>
      </w:r>
      <w:r>
        <w:t xml:space="preserve"> Math, date handling, deduplication, and transfer pairing are computed with strict native algorithms. Generative AI (Google Gemini) is utilized strictly as an asynchronous background classification and insights layer.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rPr>
          <w:b/>
        </w:rPr>
        <w:t xml:space="preserve">Multi-Tenancy From Day One:</w:t>
      </w:r>
      <w:r>
        <w:t xml:space="preserve"> Every table is partitioned by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tenant_id</w:t>
      </w:r>
      <w:r>
        <w:t xml:space="preserve"> and gated behind PostgreSQL Row Level Security (RLS) membership functions, preparing the system for multi-user or family orgs while keeping individual accounts hermetically sealed.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4. </w:t>
      </w:r>
      <w:r>
        <w:rPr>
          <w:b/>
        </w:rPr>
        <w:t xml:space="preserve">End-to-End Integer Cents:</w:t>
      </w:r>
      <w:r>
        <w:t xml:space="preserve"> Floats are banned for financial storage. All database balances, transaction amounts, and state values are signed 64-bit integers in cents.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2. The Core Architectural Principles ("The Laws")</w:t>
      </w:r>
    </w:p>
    <w:p>
      <w:r>
        <w:t xml:space="preserve">Throughout the codebase, several non-negotiable engineering "Laws" are strictly enforced across both frontend and backend: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  <w:tblCellMar>
          <w:top w:w="120"/>
          <w:bottom w:w="120"/>
          <w:left w:w="160"/>
          <w:right w:w="160"/>
        </w:tblCellMar>
      </w:tblPr>
      <w:tr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Principle / Law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Requirement &amp; Implementation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Why It Matters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The Money Rule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Always store, compute, and transmit amounts as </w:t>
            </w:r>
            <w:r>
              <w:rPr>
                <w:b/>
              </w:rPr>
              <w:t xml:space="preserve">integer cents</w:t>
            </w:r>
            <w:r>
              <w:t xml:space="preserve">. Conversion to dollars occurs </w:t>
            </w:r>
            <w:r>
              <w:rPr>
                <w:b/>
              </w:rPr>
              <w:t xml:space="preserve">only</w:t>
            </w:r>
            <w:r>
              <w:t xml:space="preserve"> at the final presentation string layer via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fmt()</w:t>
            </w:r>
            <w:r>
              <w:t xml:space="preserve"> or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fmtCents()</w:t>
            </w:r>
            <w:r>
              <w:t xml:space="preserve"> in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app/src/data.ts</w:t>
            </w:r>
            <w:r>
              <w:t xml:space="preserve">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Prevents IEEE 754 floating-point rounding errors (e.g.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$0.10 + $0.20 = $0.30000000000000004</w:t>
            </w:r>
            <w: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Sign Convention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Inflow / Income is </w:t>
            </w:r>
            <w:r>
              <w:rPr>
                <w:b/>
              </w:rPr>
              <w:t xml:space="preserve">positive</w:t>
            </w:r>
            <w:r>
              <w:t xml:space="preserve">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+amount</w:t>
            </w:r>
            <w:r>
              <w:t xml:space="preserve">). Outflow / Expense is </w:t>
            </w:r>
            <w:r>
              <w:rPr>
                <w:b/>
              </w:rPr>
              <w:t xml:space="preserve">negative</w:t>
            </w:r>
            <w:r>
              <w:t xml:space="preserve">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-amount</w:t>
            </w:r>
            <w:r>
              <w:t xml:space="preserve">). Invert only in UI charts if "Spend" needs to be visualized positively.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Eliminates double-negative bugs and maintains mathematical parity across accounting ledgers.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Law 1: 4-Pillar Security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1. Supabase Auth (15-min JWTs)&lt;br&gt;2. Rate Limiting (Upstash / in-memory sliding window)&lt;br&gt;3. Row Level Security on every table&lt;br&gt;4. Edge Zod validation before DB mutations.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Browser code can never directly mutate database tables via PostgREST; all writes pass through verified Edge Functions.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Law 2: SQL Aggregates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Aggregations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sum()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avg()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count()</w:t>
            </w:r>
            <w:r>
              <w:t xml:space="preserve">) run inside PostgreSQL views/RPCs. Never fetch 10,000 rows into frontend memory to call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.reduce()</w:t>
            </w:r>
            <w:r>
              <w:t xml:space="preserve">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Guarantees scalability as transaction history grows into tens of thousands of rows.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Law 3: Linear O(N) Processing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Deduplication, staging, and transfer matching group items via Hash Maps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Map&lt;Amount, Txn[]&gt;</w:t>
            </w:r>
            <w:r>
              <w:t xml:space="preserve">), enforcing hard caps per bucket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MAX_BUCKET</w:t>
            </w:r>
            <w:r>
              <w:t xml:space="preserve">).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Avoids quadratic $O(N^2)$ nested loops that freeze browser tabs or exceed Edge Function timeouts.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Law 4: Credential Secrecy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Third-party tokens (Up Bank Personal Access Tokens) are encrypted with </w:t>
            </w:r>
            <w:r>
              <w:rPr>
                <w:b/>
              </w:rPr>
              <w:t xml:space="preserve">AES-256-GCM</w:t>
            </w:r>
            <w:r>
              <w:t xml:space="preserve"> using Web Crypto, stored in an isolated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private</w:t>
            </w:r>
            <w:r>
              <w:t xml:space="preserve"> PostgreSQL schema with zero permissions to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anon</w:t>
            </w:r>
            <w:r>
              <w:t xml:space="preserve">/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authenticated</w:t>
            </w:r>
            <w:r>
              <w:t xml:space="preserve">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Compromise of an frontend JWT or anon client cannot decrypt stored API keys.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Law 5: Out-of-Band AI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Gemini API calls never run synchronously in the primary request/response path. Fast local heuristics evaluate first; AI runs in chunked background sweeps.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Keeps CSV ingestion and account syncing sub-second, resilient to external API latency or rate limits.</w:t>
            </w:r>
          </w:p>
        </w:tc>
      </w:tr>
    </w:tbl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3. System Topology &amp; High-Level Data Flow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flowchart TD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%% Styling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classDef client fill:#1E293B,stroke:#38BDF8,stroke-width:2px,color:#F8FAFC;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classDef edge fill:#0F172A,stroke:#10B981,stroke-width:2px,color:#F8FAFC;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classDef db fill:#18181B,stroke:#F59E0B,stroke-width:2px,color:#F8FAFC;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classDef external fill:#27272A,stroke:#A855F7,stroke-width:1px,color:#F8FAFC;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subgraph CLIENT ["Frontend SPA (Vite + React 18 + TS)"]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UI["React UI Views\n(Dashboard, Accounts, Ingestion, Ledger)"]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DC["DataContext\n(Global State &amp; Polling)"]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AC["AuthContext\n(JWT, Session, Tenant)"]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 UI,DC,AC client;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subgraph BACKEND ["Supabase Edge Functions (Deno Runtime)"]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WA["_shared/withAuth.ts\n(Origin, JWT, Rate-Limit, Zod Validator)"]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EF_INGEST["upsert-transactions / analyze-csv"]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EF_SYNC["sync-provider / connect-provider"]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EF_CAT["categorize-pending / categorize-merchants"]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EF_XFER["link-transfers / decide-transfer"]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 WA,EF_INGEST,EF_SYNC,EF_CAT,EF_XFER edge;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subgraph DATABASE ["Supabase PostgreSQL (Database Engine)"]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RLS["Row Level Security\n(is_tenant_member / has_tenant_role)"]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VIEW["transactions_analytic\n(security_invoker = true)"]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TABLES[("Core Tables:\ntenants, accounts, transactions,\ntransfer_links, merchant_rules")]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PRIV[("private Schema:\nprovider_credentials (AES-256-GCM)")]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 RLS,VIEW,TABLES,PRIV db;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subgraph EXT ["External Services"]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UP["Up Bank API\n(Personal Access Token)"]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GEMINI["Google Gemini 2.5 API\n(Structured JSON Schema)"]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class UP,GEMINI external;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%% Data Flow Connections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UI --&gt;|Reads via PostgREST (RLS)| VIEW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UI --&gt;|Mutations via fetch| WA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WA --&gt; EF_INGEST &amp; EF_SYNC &amp; EF_CAT &amp; EF_XFER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EF_INGEST --&gt;|Zod Validated Write| TABLES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EF_SYNC --&gt;|Fetch Accounts/Txns| UP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EF_SYNC --&gt;|Store Encrypted Secret| PRIV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EF_SYNC --&gt;|Commit Rows| TABLES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EF_CAT --&gt;|Batch Prompt (50)| GEMINI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EF_CAT --&gt;|Write-Back RPC| TABLES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EF_XFER --&gt;|O(N) Match &amp; Link| TABLES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TABLES --&gt; VIEW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VIEW --&gt;|Filtered Feed| DC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DC --&gt; UI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4. Frontend Architecture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</w:t>
      </w:r>
      <w:r>
        <w:t xml:space="preserve">)</w:t>
      </w:r>
    </w:p>
    <w:p>
      <w:pPr>
        <w:pStyle w:val="Heading2"/>
      </w:pPr>
      <w:r>
        <w:t xml:space="preserve">4.1 State Management &amp; Context Pipeline</w:t>
      </w:r>
    </w:p>
    <w:p>
      <w:r>
        <w:t xml:space="preserve">The frontend relies on two primary contexts located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app/src/contexts/</w:t>
      </w:r>
      <w:r>
        <w:t xml:space="preserve">: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`AuthContext.tsx`</w:t>
      </w:r>
      <w:r>
        <w:t xml:space="preserve">:</w:t>
      </w:r>
    </w:p>
    <w:p>
      <w:pPr>
        <w:numPr>
          <w:ilvl w:val="0"/>
          <w:numId w:val="1"/>
        </w:numPr>
        <w:spacing w:after="80" w:before="0"/>
      </w:pPr>
      <w:r>
        <w:t xml:space="preserve">Manages authentication state using Supabase GoTrue.</w:t>
      </w:r>
    </w:p>
    <w:p>
      <w:pPr>
        <w:numPr>
          <w:ilvl w:val="0"/>
          <w:numId w:val="1"/>
        </w:numPr>
        <w:spacing w:after="80" w:before="0"/>
      </w:pPr>
      <w:r>
        <w:t xml:space="preserve">Holds the current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session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user</w:t>
      </w:r>
      <w:r>
        <w:t xml:space="preserve">, resolved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tenantId</w:t>
      </w:r>
      <w:r>
        <w:t xml:space="preserve">, and user permissions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role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isAdmin</w:t>
      </w:r>
      <w:r>
        <w:t xml:space="preserve">).</w:t>
      </w:r>
    </w:p>
    <w:p>
      <w:pPr>
        <w:numPr>
          <w:ilvl w:val="0"/>
          <w:numId w:val="1"/>
        </w:numPr>
        <w:spacing w:after="80" w:before="0"/>
      </w:pPr>
      <w:r>
        <w:t xml:space="preserve">Automatically handles token refreshing (15-minute access token lifespan).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`DataContext.tsx`</w:t>
      </w:r>
      <w:r>
        <w:t xml:space="preserve">:</w:t>
      </w:r>
    </w:p>
    <w:p>
      <w:pPr>
        <w:numPr>
          <w:ilvl w:val="0"/>
          <w:numId w:val="1"/>
        </w:numPr>
        <w:spacing w:after="80" w:before="0"/>
      </w:pPr>
      <w:r>
        <w:t xml:space="preserve">The primary data layer of the application. Components consume data through the custom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useData()</w:t>
      </w:r>
      <w:r>
        <w:t xml:space="preserve"> hook.</w:t>
      </w:r>
    </w:p>
    <w:p>
      <w:pPr>
        <w:numPr>
          <w:ilvl w:val="0"/>
          <w:numId w:val="1"/>
        </w:numPr>
        <w:spacing w:after="80" w:before="0"/>
      </w:pPr>
      <w:r>
        <w:t xml:space="preserve">Queries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transactions_analytic</w:t>
      </w:r>
      <w:r>
        <w:t xml:space="preserve"> (a secure SQL view),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accounts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categories</w:t>
      </w:r>
      <w:r>
        <w:t xml:space="preserve">,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transfer_links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t xml:space="preserve">Manages background stale-while-revalidate loops: when an account's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balance_as_of</w:t>
      </w:r>
      <w:r>
        <w:t xml:space="preserve"> is older than 30 minutes, it quietly triggers a background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sync-provider</w:t>
      </w:r>
      <w:r>
        <w:t xml:space="preserve"> Edge Function call.</w:t>
      </w:r>
    </w:p>
    <w:p>
      <w:pPr>
        <w:numPr>
          <w:ilvl w:val="0"/>
          <w:numId w:val="1"/>
        </w:numPr>
        <w:spacing w:after="80" w:before="0"/>
      </w:pPr>
      <w:r>
        <w:t xml:space="preserve">Exposes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refreshData()</w:t>
      </w:r>
      <w:r>
        <w:t xml:space="preserve"> function to force-reload global state.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sequenceDiagram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autonumber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actor User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Router as React Router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Guards as Guards.tsx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DataCtx as DataContext.tsx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DB as Postgres View (transactions_analytic)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User-&gt;&gt;Router: Navigates to /dashboard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Router-&gt;&gt;Guards: RequireAuth &amp; RequireOnboarded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Guards-&gt;&gt;DataCtx: Checks { loading, accounts, transactions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alt Data is Loading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DataCtx--&gt;&gt;Guards: loading = true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Guards--&gt;&gt;User: Renders Suspense / Letterbox Placeholder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else Data Loaded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DataCtx-&gt;&gt;DB: PostgREST SELECT (Tenant RLS Filtered)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DB--&gt;&gt;DataCtx: Transformed Transaction &amp; Account Array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DataCtx--&gt;&gt;Guards: loading = false, data ready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Guards--&gt;&gt;Router: Render View (Dashboard.tsx)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Heading2"/>
      </w:pPr>
      <w:r>
        <w:t xml:space="preserve">4.2 Routing, Shell, and Navigation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Router Engine:</w:t>
      </w:r>
      <w:r>
        <w:t xml:space="preserve"> Managed via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react-router-dom</w:t>
      </w:r>
      <w:r>
        <w:t xml:space="preserve">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app/src/router.tsx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Top-Level Guards (`app/src/components/Guards.tsx`):</w:t>
      </w:r>
    </w:p>
    <w:p>
      <w:pPr>
        <w:numPr>
          <w:ilvl w:val="0"/>
          <w:numId w:val="1"/>
        </w:numPr>
        <w:spacing w:after="80" w:before="0"/>
      </w:pP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RequireAuth</w:t>
      </w:r>
      <w:r>
        <w:t xml:space="preserve">: Redirects unauthenticated users to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/login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RequireAnon</w:t>
      </w:r>
      <w:r>
        <w:t xml:space="preserve">: Redirects signed-in users away from auth pages to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/dashboard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RequireOnboarded</w:t>
      </w:r>
      <w:r>
        <w:t xml:space="preserve">: Validates that at least one account exists for the tenant; if not, routes to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/onboarding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The Letterbox Shell (`app/src/components/Shell.tsx`):</w:t>
      </w:r>
    </w:p>
    <w:p>
      <w:pPr>
        <w:numPr>
          <w:ilvl w:val="0"/>
          <w:numId w:val="1"/>
        </w:numPr>
        <w:spacing w:after="80" w:before="0"/>
      </w:pPr>
      <w:r>
        <w:t xml:space="preserve">A cinematic container that wraps the screen with fixed top and bottom status bars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--color-bar</w:t>
      </w:r>
      <w:r>
        <w:t xml:space="preserve">).</w:t>
      </w:r>
    </w:p>
    <w:p>
      <w:pPr>
        <w:numPr>
          <w:ilvl w:val="0"/>
          <w:numId w:val="1"/>
        </w:numPr>
        <w:spacing w:after="80" w:before="0"/>
      </w:pPr>
      <w:r>
        <w:t xml:space="preserve">Contains global navigation: </w:t>
      </w:r>
      <w:r>
        <w:rPr>
          <w:b/>
        </w:rPr>
        <w:t xml:space="preserve">Dashboard</w:t>
      </w:r>
      <w:r>
        <w:t xml:space="preserve">, </w:t>
      </w:r>
      <w:r>
        <w:rPr>
          <w:b/>
        </w:rPr>
        <w:t xml:space="preserve">Accounts</w:t>
      </w:r>
      <w:r>
        <w:t xml:space="preserve">, </w:t>
      </w:r>
      <w:r>
        <w:rPr>
          <w:b/>
        </w:rPr>
        <w:t xml:space="preserve">Income</w:t>
      </w:r>
      <w:r>
        <w:t xml:space="preserve">, </w:t>
      </w:r>
      <w:r>
        <w:rPr>
          <w:b/>
        </w:rPr>
        <w:t xml:space="preserve">Expenses</w:t>
      </w:r>
      <w:r>
        <w:t xml:space="preserve">, </w:t>
      </w:r>
      <w:r>
        <w:rPr>
          <w:b/>
        </w:rPr>
        <w:t xml:space="preserve">Ingestion</w:t>
      </w:r>
      <w:r>
        <w:t xml:space="preserve">, and </w:t>
      </w:r>
      <w:r>
        <w:rPr>
          <w:b/>
        </w:rPr>
        <w:t xml:space="preserve">Settings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t xml:space="preserve">Renders a live notification badge on the Ingestion tab indicating pending transfer matches needing review.</w:t>
      </w:r>
    </w:p>
    <w:p>
      <w:pPr>
        <w:pStyle w:val="Heading2"/>
      </w:pPr>
      <w:r>
        <w:t xml:space="preserve">4.3 The Dual-Animation Engine Boundary</w:t>
      </w:r>
    </w:p>
    <w:p>
      <w:r>
        <w:t xml:space="preserve">Halcyon enforces a strict separation between two animation libraries to guarantee 60 FPS performance without memory leaks or race conditions: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  <w:tblCellMar>
          <w:top w:w="120"/>
          <w:bottom w:w="120"/>
          <w:left w:w="160"/>
          <w:right w:w="160"/>
        </w:tblCellMar>
      </w:tblPr>
      <w:tr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Library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Domain / Responsibility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Target Components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Rule &amp; Constraints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Framer Motion 11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Layout morphing, screen transitions, modals, tile blur-in, hero card morph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layoutId="hero"</w:t>
            </w:r>
            <w:r>
              <w:t xml:space="preserve">).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Screen.tsx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Tile.tsx</w:t>
            </w:r>
            <w:r>
              <w:t xml:space="preserve">, Modals, View swaps.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Must use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rgba</w:t>
            </w:r>
            <w:r>
              <w:t xml:space="preserve"> or hex colors. Never use Tailwind v4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oklab()</w:t>
            </w:r>
            <w:r>
              <w:t xml:space="preserve"> color classes in Framer properties (Framer cannot interpolate them).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anime.js 3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Internal chart vector mechanics, SVG draw-on, dashoffset manipulation, number count-ups.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Area.tsx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Bar.tsx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Donut.tsx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AllocationDonut.tsx</w:t>
            </w:r>
            <w:r>
              <w:t xml:space="preserve">.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 xml:space="preserve">Must</w:t>
            </w:r>
            <w:r>
              <w:t xml:space="preserve"> route exclusively through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src/hooks/useChartReveal.ts</w:t>
            </w:r>
            <w:r>
              <w:t xml:space="preserve">. No element is ever animated by both Framer Motion and anime.js.</w:t>
            </w:r>
          </w:p>
        </w:tc>
      </w:tr>
    </w:tbl>
    <w:p>
      <w:pPr>
        <w:pStyle w:val="Heading2"/>
      </w:pPr>
      <w:r>
        <w:t xml:space="preserve">4.4 Design System &amp; Token Architecture</w:t>
      </w:r>
    </w:p>
    <w:p>
      <w:r>
        <w:t xml:space="preserve">The design system is documented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Halcyon_DesignSystem.md</w:t>
      </w:r>
      <w:r>
        <w:t xml:space="preserve"> and machine-implemented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app/src/index.css</w:t>
      </w:r>
      <w:r>
        <w:t xml:space="preserve">: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CSS-First Tailwind v4:</w:t>
      </w:r>
      <w:r>
        <w:t xml:space="preserve"> Uses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@theme</w:t>
      </w:r>
      <w:r>
        <w:t xml:space="preserve"> directive to establish design tokens.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Color Palette:</w:t>
      </w:r>
      <w:r>
        <w:t xml:space="preserve"> A light-editorial surface palette with high-contrast display typography, a signature mint accent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#11b596</w:t>
      </w:r>
      <w:r>
        <w:t xml:space="preserve">), and semantic indicators (positive green, warning amber, critical coral).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The Taxonomy Palette:</w:t>
      </w:r>
      <w:r>
        <w:t xml:space="preserve"> 13 primary categories, where expense colors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--cat-1</w:t>
      </w:r>
      <w:r>
        <w:t xml:space="preserve"> through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--cat-8</w:t>
      </w:r>
      <w:r>
        <w:t xml:space="preserve"> are assigned deterministically by category array index via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app/src/lib/categoryColor.ts</w:t>
      </w:r>
      <w:r>
        <w:t xml:space="preserve">. Non-expense categories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Income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Investing</w:t>
      </w:r>
      <w:r>
        <w:t xml:space="preserve">) remain neutral.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5. Backend &amp; Database Architecture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supabase/</w:t>
      </w:r>
      <w:r>
        <w:t xml:space="preserve">)</w:t>
      </w:r>
    </w:p>
    <w:p>
      <w:pPr>
        <w:pStyle w:val="Heading2"/>
      </w:pPr>
      <w:r>
        <w:t xml:space="preserve">5.1 Multi-Tenant Postgres Schema &amp; Isolation Model</w:t>
      </w:r>
    </w:p>
    <w:p>
      <w:r>
        <w:t xml:space="preserve">The PostgreSQL database is organized into two schemas: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public</w:t>
      </w:r>
      <w:r>
        <w:t xml:space="preserve"> (accessible via PostgREST subject to RLS)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private</w:t>
      </w:r>
      <w:r>
        <w:t xml:space="preserve"> (accessible exclusively to server-side Edge Functions running with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service_role</w:t>
      </w:r>
      <w:r>
        <w:t xml:space="preserve">).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erDiagram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tenant_members : "has members"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accounts : "owns"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transactions : "contains"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transfer_links : "detects"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transfer_decisions : "records"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merchant_rules : "caches"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||--o{ provider_connections : "authorizes"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accounts ||--o{ transactions : "holds"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provider_connections ||--o{ account_connections : "links"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accounts ||--o| account_connections : "maps to"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tenants {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id PK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name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timestamptz created_at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accounts {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id PK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tenant_id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name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type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bigint balance "Integer Cents"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date cutover_date "CSV vs API split"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transactions {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id PK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tenant_id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account_id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bigint amount "Signed Integer Cents"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date date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original_description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normalized_merchant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category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category_source "user | bank | ai | null"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dedupe_hash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int occurrence "Batch ordinal"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boolean pending "HELD status"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provider "e.g. up"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external_id "Bank unique ID"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transfer_links {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id PK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tenant_id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from_transaction_id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to_transaction_id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numeric score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state "auto | suggested"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transfer_decisions {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id PK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uuid tenant_id FK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content_hash "Survives reimport"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text verdict "confirmed | rejected | external"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}</w:t>
      </w:r>
    </w:p>
    <w:p>
      <w:pPr>
        <w:pStyle w:val="Heading2"/>
      </w:pPr>
      <w:r>
        <w:t xml:space="preserve">5.2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withAuth</w:t>
      </w:r>
      <w:r>
        <w:t xml:space="preserve"> Edge Function Pipeline</w:t>
      </w:r>
    </w:p>
    <w:p>
      <w:r>
        <w:t xml:space="preserve">Every Supabase Edge Function is wrapped with the higher-order pipeline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supabase/functions/_shared/withAuth.ts</w:t>
      </w:r>
      <w:r>
        <w:t xml:space="preserve">. This replaces boilerplate and ensures that every mutation follows standard security controls: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flowchart LR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REQ([HTTP Request]) --&gt; CORS[1. Origin &amp; CORS Check]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CORS --&gt; RATE[2. Rate Limiting Check]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RATE --&gt; JWT[3. JWT Authentication]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JWT --&gt; TENANT[4. Tenant &amp; Role Lookup]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TENANT --&gt; ZOD[5. Zod Payload Validation]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ZOD --&gt; HANDLER[6. Business Logic Handler]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HANDLER --&gt; AUDIT[7. Audit Log Entry]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AUDIT --&gt; RESP([JSON Response])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Origin &amp; Method:</w:t>
      </w:r>
      <w:r>
        <w:t xml:space="preserve"> Validates that the request origin matches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ALLOWED_ORIGINS</w:t>
      </w:r>
      <w:r>
        <w:t xml:space="preserve"> and uses the expected HTTP verb.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Rate Limiting:</w:t>
      </w:r>
      <w:r>
        <w:t xml:space="preserve"> Enforces per-endpoint sliding-window limits using Upstash Redis (with an in-memory fallback).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rPr>
          <w:b/>
        </w:rPr>
        <w:t xml:space="preserve">JWT Verification:</w:t>
      </w:r>
      <w:r>
        <w:t xml:space="preserve"> Extracts and verifies the Supabase Auth Bearer token.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4. </w:t>
      </w:r>
      <w:r>
        <w:rPr>
          <w:b/>
        </w:rPr>
        <w:t xml:space="preserve">Tenant Resolution:</w:t>
      </w:r>
      <w:r>
        <w:t xml:space="preserve"> Queries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tenant_members</w:t>
      </w:r>
      <w:r>
        <w:t xml:space="preserve"> to resolve the caller's active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tenant_id</w:t>
      </w:r>
      <w:r>
        <w:t xml:space="preserve"> and verified role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owner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admin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member</w:t>
      </w:r>
      <w:r>
        <w:t xml:space="preserve">).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5. </w:t>
      </w:r>
      <w:r>
        <w:rPr>
          <w:b/>
        </w:rPr>
        <w:t xml:space="preserve">Zod Validation:</w:t>
      </w:r>
      <w:r>
        <w:t xml:space="preserve"> Parses and validates the request body against a strict Zod schema. If invalid, fails immediately with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400 Bad Request</w:t>
      </w:r>
      <w:r>
        <w:t xml:space="preserve"> and structured field errors.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6. </w:t>
      </w:r>
      <w:r>
        <w:rPr>
          <w:b/>
        </w:rPr>
        <w:t xml:space="preserve">Scoped Context:</w:t>
      </w:r>
      <w:r>
        <w:t xml:space="preserve"> Hands the handler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ctx</w:t>
      </w:r>
      <w:r>
        <w:t xml:space="preserve"> object containing a tenant-scoped database client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ctx.db</w:t>
      </w:r>
      <w:r>
        <w:t xml:space="preserve"> (enforcing RLS),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ctx.user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ctx.tenantId</w:t>
      </w:r>
      <w:r>
        <w:t xml:space="preserve">,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ctx.audit()</w:t>
      </w:r>
      <w:r>
        <w:t xml:space="preserve">.</w:t>
      </w:r>
    </w:p>
    <w:p>
      <w:pPr>
        <w:pStyle w:val="Heading2"/>
      </w:pPr>
      <w:r>
        <w:t xml:space="preserve">5.3 Row-Level Security (RLS) &amp;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transactions_analytic</w:t>
      </w:r>
      <w:r>
        <w:t xml:space="preserve"> View</w:t>
      </w:r>
    </w:p>
    <w:p>
      <w:r>
        <w:t xml:space="preserve">All financial tables enable RLS. Policies verify tenant membership using the security helper functions:</w:t>
      </w:r>
    </w:p>
    <w:p>
      <w:pPr>
        <w:numPr>
          <w:ilvl w:val="0"/>
          <w:numId w:val="1"/>
        </w:numPr>
        <w:spacing w:after="80" w:before="0"/>
      </w:pP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is_tenant_member(tenant_id)</w:t>
      </w:r>
    </w:p>
    <w:p>
      <w:pPr>
        <w:numPr>
          <w:ilvl w:val="0"/>
          <w:numId w:val="1"/>
        </w:numPr>
        <w:spacing w:after="80" w:before="0"/>
      </w:pP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has_tenant_role(tenant_id, 'admin')</w:t>
      </w:r>
    </w:p>
    <w:p>
      <w:pPr>
        <w:pStyle w:val="Heading3"/>
      </w:pPr>
      <w:r>
        <w:t xml:space="preserve">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transactions_analytic</w:t>
      </w:r>
      <w:r>
        <w:t xml:space="preserve"> View</w:t>
      </w:r>
    </w:p>
    <w:p>
      <w:r>
        <w:t xml:space="preserve">The client never reads raw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</w:t>
      </w:r>
      <w:r>
        <w:t xml:space="preserve"> directly. Instead, it queries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transactions_analytic</w:t>
      </w:r>
      <w:r>
        <w:t xml:space="preserve">. This view calculates dynamic fields in SQL: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`is_transfer`:</w:t>
      </w:r>
      <w:r>
        <w:t xml:space="preserve"> Evaluates transfer status based on a priority hierarchy: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t xml:space="preserve">Durable user decision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transfer_decisions</w:t>
      </w:r>
      <w:r>
        <w:t xml:space="preserve"> =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confirmed</w:t>
      </w:r>
      <w:r>
        <w:t xml:space="preserve">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external</w:t>
      </w:r>
      <w:r>
        <w:t xml:space="preserve">)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t xml:space="preserve">Active transfer link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transfer_links</w:t>
      </w:r>
      <w:r>
        <w:t xml:space="preserve"> (where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state IN ('auto', 'suggested')</w:t>
      </w:r>
      <w:r>
        <w:t xml:space="preserve">)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t xml:space="preserve">Static heuristic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category = 'Transfer'</w:t>
      </w:r>
      <w:r>
        <w:t xml:space="preserve">)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`transfer_state`:</w:t>
      </w:r>
      <w:r>
        <w:t xml:space="preserve"> Outputs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'linked'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'suggested'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'unmatched'</w:t>
      </w:r>
      <w:r>
        <w:t xml:space="preserve">,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'none'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Security Invoker:</w:t>
      </w:r>
      <w:r>
        <w:t xml:space="preserve"> Created with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WITH (security_invoker = true)</w:t>
      </w:r>
      <w:r>
        <w:t xml:space="preserve"> so that the underlying tenant RLS policies on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</w:t>
      </w:r>
      <w:r>
        <w:t xml:space="preserve">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transfer_links</w:t>
      </w:r>
      <w:r>
        <w:t xml:space="preserve"> are strictly enforced.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6. Deep-Dive Subsystems &amp; Execution Flows</w:t>
      </w:r>
    </w:p>
    <w:p>
      <w:pPr>
        <w:pStyle w:val="Heading2"/>
      </w:pPr>
      <w:r>
        <w:t xml:space="preserve">6.1 Data Ingestion &amp; Deduplication Pipeline (CSV &amp; Up Bank API)</w:t>
      </w:r>
    </w:p>
    <w:p>
      <w:r>
        <w:t xml:space="preserve">Halcyon provides two ingestion channels: manual CSV file uploads and direct API synchronization.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sequenceDiagram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autonumber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actor User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Uploader as CSVUploader.tsx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Gemini as Edge: analyze-csv (Gemini)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Staging as StagingTable.tsx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EdgeUpsert as Edge: upsert-transactions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participant DB as Postgres (transactions)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User-&gt;&gt;Uploader: Drops Bank Statement CSV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Uploader-&gt;&gt;Gemini: Sends sample rows for column detection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Gemini--&gt;&gt;Uploader: Returns Schema Mapping (Date, Desc, Amount)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Uploader-&gt;&gt;Uploader: Runs Client Parser (parseDate, parseAmount, dedupeHash)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Uploader-&gt;&gt;Staging: Renders Staging Table (Flags duplicates &amp; invalid rows)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User-&gt;&gt;Staging: Enters Closing Balance (Reconciliation Step)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User-&gt;&gt;Uploader: Clicks "Commit Import"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Uploader-&gt;&gt;EdgeUpsert: POST /upsert-transactions (Validated Payload)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EdgeUpsert-&gt;&gt;EdgeUpsert: Computes dedupe_hash &amp; occurrence index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EdgeUpsert-&gt;&gt;DB: INSERT INTO transactions ON CONFLICT DO NOTHING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EdgeUpsert-&gt;&gt;DB: Inserts Reconciliation Anchor Row (if balance provided)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EdgeUpsert--&gt;&gt;Uploader: { inserted: N, skipped: M, anchor: true 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Uploader--&gt;&gt;User: Success Notification</w:t>
      </w:r>
    </w:p>
    <w:p>
      <w:pPr>
        <w:pStyle w:val="Heading3"/>
      </w:pPr>
      <w:r>
        <w:t xml:space="preserve">Deduplication Mechanics</w:t>
      </w:r>
    </w:p>
    <w:p>
      <w:r>
        <w:t xml:space="preserve">To prevent double-counting when statements overlap, Halcyon uses a composite uniqueness constraint:</w:t>
      </w:r>
    </w:p>
    <w:p>
      <w:r>
        <w:t xml:space="preserve">$$\text{Unique Key} = (\text{account\_id},\; \text{dedupe\_hash},\; \text{occurrence})$$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`dedupe_hash`:</w:t>
      </w:r>
      <w:r>
        <w:t xml:space="preserve"> A SHA-256 hash of the normalized date, raw description, and signed integer amount:</w:t>
      </w:r>
    </w:p>
    <w:p>
      <w:r>
        <w:t xml:space="preserve">$$\text{hash} = \text{SHA256}(\text{ISO\_DATE} \,\|\, \text{RAW\_DESCRIPTION} \,\|\, \text{AMOUNT\_CENTS})$$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`occurrence`:</w:t>
      </w:r>
      <w:r>
        <w:t xml:space="preserve"> The zero-based ordinal index of that exact identical transaction </w:t>
      </w:r>
      <w:r>
        <w:rPr>
          <w:i/>
        </w:rPr>
        <w:t xml:space="preserve">within the current import batch</w:t>
      </w:r>
      <w:r>
        <w:t xml:space="preserve">. This ensures that if a user bought two identical $4.50 coffees at the same cafe on the same day, both are imported (occurrence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0</w:t>
      </w:r>
      <w:r>
        <w:t xml:space="preserve">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1</w:t>
      </w:r>
      <w:r>
        <w:t xml:space="preserve">), but re-importing the same statement will detect that occurrences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0</w:t>
      </w:r>
      <w:r>
        <w:t xml:space="preserve">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1</w:t>
      </w:r>
      <w:r>
        <w:t xml:space="preserve"> already exist in the database and skip them.</w:t>
      </w:r>
    </w:p>
    <w:p>
      <w:pPr>
        <w:pStyle w:val="Heading3"/>
      </w:pPr>
      <w:r>
        <w:t xml:space="preserve">The Reconciliation Anchor</w:t>
      </w:r>
    </w:p>
    <w:p>
      <w:r>
        <w:t xml:space="preserve">When importing a CSV, the user can provide the statement's ending balance. Halcyon computes:</w:t>
      </w:r>
    </w:p>
    <w:p>
      <w:r>
        <w:t xml:space="preserve">$$\text{Anchor Amount} = \text{Statement Ending Balance} - \sum(\text{All Imported Transactions in DB})$$</w:t>
      </w:r>
    </w:p>
    <w:p>
      <w:r>
        <w:t xml:space="preserve">If an unexplained delta exists (e.g. earlier unimported historical transactions), a system transaction categorized as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 &gt; Reconciliation</w:t>
      </w:r>
      <w:r>
        <w:t xml:space="preserve"> is automatically inserted to ensure the ledger balance perfectly aligns with the real bank balance.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2"/>
      </w:pPr>
      <w:r>
        <w:t xml:space="preserve">6.2 Intelligent Multi-Tier Categorization Engine</w:t>
      </w:r>
    </w:p>
    <w:p>
      <w:r>
        <w:t xml:space="preserve">Halcyon uses a 4-tier categorization pipeline that prioritizes deterministic rules to minimize latency and AI API costs: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flowchart TD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TXN[New Transaction Ingested] --&gt; TIER1{Tier 1: User Rule?}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TIER1 -- Yes --&gt; APPLY_USER[Apply User Rule\ncategory_source = 'user']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TIER1 -- No --&gt; TIER2{Tier 2: Bank Category?}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TIER2 -- Match Found --&gt; APPLY_BANK[Apply Taxonomy Mapping\ncategory_source = 'bank']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TIER2 -- Unmapped --&gt; TIER3{Tier 3: Cached AI Rule?}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TIER3 -- Cache Hit --&gt; APPLY_CACHE[Apply merchant_rules Cache\ncategory_source = 'ai']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TIER3 -- Cache Miss --&gt; TIER4[Tier 4: Gemini 2.5 API Batch]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TIER4 --&gt; VALIDATE{Valid Taxonomy Enum?}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VALIDATE -- Yes --&gt; WRITE_CACHE[Save to merchant_rules &amp;\nApply to Transaction]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VALIDATE -- No --&gt; UNCAT[Mark 'Uncategorized' &amp;\nFlag needs_review]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Tier 1 (User Rules - `source='user'`):</w:t>
      </w:r>
      <w:r>
        <w:t xml:space="preserve"> When a user manually changes a transaction's category in the UI, an entry is written to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merchant_rules</w:t>
      </w:r>
      <w:r>
        <w:t xml:space="preserve">. This rule matches on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normalized_merchant</w:t>
      </w:r>
      <w:r>
        <w:t xml:space="preserve"> and permanently overrides all other tiers.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Tier 2 (Bank Categories - `source='bank'`):</w:t>
      </w:r>
      <w:r>
        <w:t xml:space="preserve"> If the bank export or API provides a category (e.g. Up Bank's category tags), it is translated via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upCategoryMap.ts</w:t>
      </w:r>
      <w:r>
        <w:t xml:space="preserve">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bankCategoryMap.ts</w:t>
      </w:r>
      <w:r>
        <w:t xml:space="preserve">. Unmapped values are left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null</w:t>
      </w:r>
      <w:r>
        <w:t xml:space="preserve"> to allow AI evaluation rather than falling into a generic catch-all.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rPr>
          <w:b/>
        </w:rPr>
        <w:t xml:space="preserve">Tier 3 (Cached Rules - `source='ai'`):</w:t>
      </w:r>
      <w:r>
        <w:t xml:space="preserve"> The system queries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merchant_rules</w:t>
      </w:r>
      <w:r>
        <w:t xml:space="preserve"> table for previous AI classifications for the same normalized merchant string.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4. </w:t>
      </w:r>
      <w:r>
        <w:rPr>
          <w:b/>
        </w:rPr>
        <w:t xml:space="preserve">Tier 4 (Gemini 2.5 AI Fallback):</w:t>
      </w:r>
      <w:r>
        <w:t xml:space="preserve"> For novel merchants, the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categorize-merchants</w:t>
      </w:r>
      <w:r>
        <w:t xml:space="preserve"> (CSV staging)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categorize-pending</w:t>
      </w:r>
      <w:r>
        <w:t xml:space="preserve"> (background provider sweep) function batches up to 50 unique merchants and prompts Gemini 2.5 using a structured JSON schema. The output is strictly validated against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_shared/taxonomy.ts</w:t>
      </w:r>
      <w:r>
        <w:t xml:space="preserve">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2"/>
      </w:pPr>
      <w:r>
        <w:t xml:space="preserve">6.3 The Transfer Linker ("Osko Linker") Engine</w:t>
      </w:r>
    </w:p>
    <w:p>
      <w:r>
        <w:t xml:space="preserve">In multi-account personal finance, moving money from a Checking account to a Savings account creates two transaction legs: a negative outflow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-$500</w:t>
      </w:r>
      <w:r>
        <w:t xml:space="preserve">) and a positive inflow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+$500</w:t>
      </w:r>
      <w:r>
        <w:t xml:space="preserve">). If unlinked, these artificially inflate both total income and total expenses.</w:t>
      </w:r>
    </w:p>
    <w:p>
      <w:r>
        <w:t xml:space="preserve">The Transfer Linker runs an $O(N)$ candidate scoring algorithm implemented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app/src/lib/transfers/match.ts</w:t>
      </w:r>
      <w:r>
        <w:t xml:space="preserve"> and mirrored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supabase/functions/_shared/transferMatch.ts</w:t>
      </w:r>
      <w:r>
        <w:t xml:space="preserve">: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flowchart TD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START[Scan Date Window] --&gt; FETCH[Fetch Unlinked Candidate Legs]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FETCH --&gt; BUCKET[Bucket Candidates by Absolute Amount]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BUCKET --&gt; PAIR[Score Candidate Pairs]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subgraph SCORING ["Multi-Factor Pair Scoring (0.0 to 1.0)"]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S1["Amount Match (Exact = +0.35)"]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S2["Date Proximity (Same day = +0.25, ±1d = +0.15)"]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S3["Lexicon Match ('Transfer', 'Osko', 'PayID' = +0.20)"]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S4["Account Reciprocity (Diff Accounts = +0.20)"]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    S5["Cadence &amp; Time Bonus (Up to +0.25)"]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end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PAIR --&gt; SCORING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SCORING --&gt; EVAL{Total Score}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EVAL -- "Score &gt;= 0.80" --&gt; AUTO[Auto Link: transfer_links state='auto']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EVAL -- "0.55 &lt;= Score &lt; 0.80" --&gt; SUGGEST[Suggest: transfer_links state='suggested']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EVAL -- "Score &lt; 0.55" --&gt; UNMATCH[Unmatched Leg: Available for Manual Review]</w:t>
      </w:r>
    </w:p>
    <w:p>
      <w:pPr>
        <w:pStyle w:val="Heading3"/>
      </w:pPr>
      <w:r>
        <w:t xml:space="preserve">Key Transfer Matching Rules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Candidate Exclusions:</w:t>
      </w:r>
      <w:r>
        <w:t xml:space="preserve"> Transactions with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original_description = "Round Up"</w:t>
      </w:r>
      <w:r>
        <w:t xml:space="preserve"> (Up Bank micro-savings sweeps) are excluded by string match because they are one-sided ledger entries.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Ambiguity Tie-Breaking:</w:t>
      </w:r>
      <w:r>
        <w:t xml:space="preserve"> When multiple candidates have the same amount and date, the matcher uses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transactions.provider_posted_at</w:t>
      </w:r>
      <w:r>
        <w:t xml:space="preserve"> timestamps to pair the legs with the smallest time delta.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Recurring Cadence Bonus:</w:t>
      </w:r>
      <w:r>
        <w:t xml:space="preserve"> If two accounts have $\ge 3$ historical transfers occurring on a regular interval (e.g. fortnightly salary sweeps), matching candidates receive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+0.15</w:t>
      </w:r>
      <w:r>
        <w:t xml:space="preserve"> bonus via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pairCadence.ts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Durable Decisions:</w:t>
      </w:r>
      <w:r>
        <w:t xml:space="preserve"> When a user clicks "Confirm", "Not a transfer", or "External Account", a content-keyed record is stored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transfer_decisions</w:t>
      </w:r>
      <w:r>
        <w:t xml:space="preserve">. If the user later deletes and re-imports their data, their manual verdict is preserved.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2"/>
      </w:pPr>
      <w:r>
        <w:t xml:space="preserve">6.4 Recurring Commitments &amp; AI Recurrence Hints</w:t>
      </w:r>
    </w:p>
    <w:p>
      <w:r>
        <w:t xml:space="preserve">The Recurring Hub (located in the Expenses tab) tracks fixed subscriptions, utility bills, and recurring income.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flowchart LR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SUB[Transaction History] --&gt; FILTER[Filter: Exclude Transfers &amp; Pending]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FILTER --&gt; DETECT{Deterministic Detector\nMIN_OBSERVATIONS &gt;= 3}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DETECT -- Confirmed --&gt; STATS[Compute Interval Cadence,\nMedian Amount, &amp; Price Step-Changes]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STATS --&gt; CONFIRMED_UI[Active Commitments List\n'Renews in Nd' Badges]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DETECT -- &lt; 3 Charges --&gt; AI_HINT[AI Early Detection Layer\ndetect-recurrence-hints]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    AI_HINT --&gt; CANDIDATE_UI[Possible Commitments Box\n'Likely Subscription' Hint]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Deterministic Detector (`app/src/lib/recurring.ts`):</w:t>
      </w:r>
    </w:p>
    <w:p>
      <w:pPr>
        <w:numPr>
          <w:ilvl w:val="0"/>
          <w:numId w:val="1"/>
        </w:numPr>
        <w:spacing w:after="80" w:before="0"/>
      </w:pPr>
      <w:r>
        <w:t xml:space="preserve">Groups non-transfer, non-pending expenses by normalized merchant.</w:t>
      </w:r>
    </w:p>
    <w:p>
      <w:pPr>
        <w:numPr>
          <w:ilvl w:val="0"/>
          <w:numId w:val="1"/>
        </w:numPr>
        <w:spacing w:after="80" w:before="0"/>
      </w:pPr>
      <w:r>
        <w:t xml:space="preserve">Requires a minimum of 3 observations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MIN_OBSERVATIONS = 3</w:t>
      </w:r>
      <w:r>
        <w:t xml:space="preserve">).</w:t>
      </w:r>
    </w:p>
    <w:p>
      <w:pPr>
        <w:numPr>
          <w:ilvl w:val="0"/>
          <w:numId w:val="1"/>
        </w:numPr>
        <w:spacing w:after="80" w:before="0"/>
      </w:pPr>
      <w:r>
        <w:t xml:space="preserve">Calculates the coefficient of variation ($CV = \sigma / \mu$) of the intervals between charges to classify cadence: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weekly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fortnightly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monthly</w:t>
      </w:r>
      <w:r>
        <w:t xml:space="preserve">,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quarterly</w:t>
      </w:r>
      <w:r>
        <w:t xml:space="preserve">,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annual</w:t>
      </w:r>
      <w:r>
        <w:t xml:space="preserve">.</w:t>
      </w:r>
    </w:p>
    <w:p>
      <w:pPr>
        <w:numPr>
          <w:ilvl w:val="0"/>
          <w:numId w:val="1"/>
        </w:numPr>
        <w:spacing w:after="80" w:before="0"/>
      </w:pPr>
      <w:r>
        <w:t xml:space="preserve">Detects one-time price increases (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priceChange</w:t>
      </w:r>
      <w:r>
        <w:t xml:space="preserve">) to maintain a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fixed</w:t>
      </w:r>
      <w:r>
        <w:t xml:space="preserve"> classification rather than erroneously flagging the subscription as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variable</w:t>
      </w:r>
      <w:r>
        <w:t xml:space="preserve">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AI Early-Detection Layer (`detect-recurrence-hints`):</w:t>
      </w:r>
    </w:p>
    <w:p>
      <w:pPr>
        <w:numPr>
          <w:ilvl w:val="0"/>
          <w:numId w:val="1"/>
        </w:numPr>
        <w:spacing w:after="80" w:before="0"/>
      </w:pPr>
      <w:r>
        <w:t xml:space="preserve">For merchants with only 1 or 2 historical charges, an asynchronous background function evaluates merchant names against subscription archetypes (e.g. Netflix, OpenAI, gym memberships, health insurance).</w:t>
      </w:r>
    </w:p>
    <w:p>
      <w:pPr>
        <w:numPr>
          <w:ilvl w:val="0"/>
          <w:numId w:val="1"/>
        </w:numPr>
        <w:spacing w:after="80" w:before="0"/>
      </w:pPr>
      <w:r>
        <w:t xml:space="preserve">Flags them as </w:t>
      </w:r>
      <w:r>
        <w:rPr>
          <w:b/>
        </w:rPr>
        <w:t xml:space="preserve">Candidates</w:t>
      </w:r>
      <w:r>
        <w:t xml:space="preserve"> in the UI without adding them to total monthly commitment calculations until confirmed by history.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2"/>
      </w:pPr>
      <w:r>
        <w:t xml:space="preserve">6.5 Investment Accounting &amp; Multi-Asset Valuation</w:t>
      </w:r>
    </w:p>
    <w:p>
      <w:r>
        <w:t xml:space="preserve">Halcyon supports managed funds and stock holdings alongside liquid cash and debt: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Activity Parsing:</w:t>
      </w:r>
      <w:r>
        <w:t xml:space="preserve"> Specialized ingestion adapters (e.g. Vanguard Personal Investor CSVs) extract units, unit prices, distribution reinvestments (DRP), and cash transactions.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NAV Price Tracking:</w:t>
      </w:r>
      <w:r>
        <w:t xml:space="preserve"> A scheduled Edge Function fetches verified Net Asset Value (NAV) unit prices from published fund endpoints, recording valuation date and unit price.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Cross-Ledger Cash Matching (`app/src/lib/investments/cashMatch.ts`):</w:t>
      </w:r>
      <w:r>
        <w:t xml:space="preserve"> Reconciles cash transfers from a bank account into an investment platform (e.g. BPAY deposits into Vanguard) against units purchased in the investment ledger.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Asset Allocation Calculations:</w:t>
      </w:r>
      <w:r>
        <w:t xml:space="preserve"> Asset classes are bucketed dynamically: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Cash:</w:t>
      </w:r>
      <w:r>
        <w:t xml:space="preserve"> Liquid checking + Savings accounts.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Investments:</w:t>
      </w:r>
      <w:r>
        <w:t xml:space="preserve"> Managed funds + Brokerage equity holdings.</w:t>
      </w:r>
    </w:p>
    <w:p>
      <w:pPr>
        <w:numPr>
          <w:ilvl w:val="0"/>
          <w:numId w:val="1"/>
        </w:numPr>
        <w:spacing w:after="80" w:before="0"/>
      </w:pPr>
      <w:r>
        <w:rPr>
          <w:b/>
        </w:rPr>
        <w:t xml:space="preserve">Liabilities (Excluded from Net Asset Donut):</w:t>
      </w:r>
      <w:r>
        <w:t xml:space="preserve"> Credit cards, personal loans, mortgages.</w:t>
      </w:r>
    </w:p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7. Directory &amp; Component Reference Map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  <w:tblCellMar>
          <w:top w:w="120"/>
          <w:bottom w:w="120"/>
          <w:left w:w="160"/>
          <w:right w:w="160"/>
        </w:tblCellMar>
      </w:tblPr>
      <w:tr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Path</w:t>
            </w:r>
          </w:p>
        </w:tc>
        <w:tc>
          <w:tcPr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0F172A"/>
              </w:rPr>
            </w:r>
            <w:r>
              <w:t xml:space="preserve">Primary Role &amp; 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app/src/main.tsx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App bootloader. Mounts React root (</w:t>
            </w:r>
            <w:r>
              <w:rPr>
                <w:b/>
              </w:rPr>
              <w:t xml:space="preserve">no `StrictMode`</w:t>
            </w:r>
            <w:r>
              <w:t xml:space="preserve"> to preserve canvas stability).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app/src/App.tsx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Top-level application shell, theme initialization, and toast container.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app/src/router.tsx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View routing configuration and navigation definitions.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app/src/data.ts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System types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Txn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Account</w:t>
            </w:r>
            <w:r>
              <w:t xml:space="preserve">), taxonomy definitions, and currency formatters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fmt()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fmtCents()</w:t>
            </w:r>
            <w: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app/src/index.css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Tailwind v4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@theme</w:t>
            </w:r>
            <w:r>
              <w:t xml:space="preserve"> configuration, design tokens, and glassmorphism styles.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app/src/contexts/AuthContext.tsx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Supabase Auth session, JWT lifecycle, and tenant role state.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app/src/contexts/DataContext.tsx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Global data layer; manages cache, background sync, and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transactions_analytic</w:t>
            </w:r>
            <w:r>
              <w:t xml:space="preserve"> feeds.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app/src/components/Shell.tsx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Cinematic letterbox shell layout with header, navigation, and footer status bar.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app/src/components/Guards.tsx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Route authorization, onboarding validation, and loading gates.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app/src/components/OskoLinker.tsx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Interactive transfer review panel; handles suggested pairs and batch verdicts.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app/src/components/CSVUploader.tsx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5-step CSV ingestion wizard: drop, column map, staging preview, reconciliation, commit.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app/src/lib/csv/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Pure CSV ingestion library (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parseDate.ts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parseAmount.ts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normalizeMerchant.ts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dedupe.ts</w:t>
            </w:r>
            <w:r>
              <w:t xml:space="preserve">).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app/src/lib/transfers/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Transfer classification, O(N) candidate matching, and cadence calculation.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app/src/lib/recurring.ts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Mathematical recurrence detection, interval volatility scoring, and renewal projection.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app/src/views/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Top-level screen views: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Dashboard.tsx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Accounts.tsx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Income.tsx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Expenses.tsx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Ingestion.tsx</w:t>
            </w:r>
            <w:r>
              <w:t xml:space="preserve">, </w:t>
            </w: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Settings.tsx</w:t>
            </w:r>
            <w: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supabase/functions/_shared/withAuth.ts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Standard Edge Function pipeline: CORS, JWT verify, rate limiting, tenant lookup, Zod validation.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supabase/functions/_shared/taxonomy.ts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Authoritative 13-category taxonomy and subcategory validation rules.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supabase/functions/_shared/crypto.ts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AES-256-GCM encryption/decryption utilities for third-party API credentials.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supabase/functions/sync-provider/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Resumable Up Bank synchronization and automatic balance reconciliation.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supabase/functions/categorize-pending/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Background categorization sweep for unclassified transactions.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supabase/functions/link-transfers/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Server-side transfer rescan and link generation RPC wrapper.</w:t>
            </w:r>
          </w:p>
        </w:tc>
      </w:tr>
      <w:tr>
        <w:tc>
          <w:tcPr>
            <w:shd w:val="clear" w:color="auto" w:fill="FFFFFF"/>
          </w:tcPr>
          <w:p>
            <w:pPr>
              <w:spacing w:after="40" w:before="40"/>
            </w:pPr>
            <w:r>
              <w:rPr>
                <w:rFonts w:ascii="Cascadia Code" w:hAnsi="Cascadia Code" w:cs="Consolas"/>
                <w:shd w:val="clear" w:color="auto" w:fill="F1F5F9"/>
                <w:color w:val="0F172A"/>
                <w:sz w:val="20"/>
              </w:rPr>
              <w:t xml:space="preserve">supabase/migrations/</w:t>
            </w:r>
          </w:p>
        </w:tc>
        <w:tc>
          <w:tcPr>
            <w:shd w:val="clear" w:color="auto" w:fill="FFFFFF"/>
          </w:tcPr>
          <w:p>
            <w:pPr>
              <w:spacing w:after="40" w:before="40"/>
            </w:pPr>
            <w:r>
              <w:t xml:space="preserve">Versioned PostgreSQL schema migrations, RLS policies, views, and RPC definitions.</w:t>
            </w:r>
          </w:p>
        </w:tc>
      </w:tr>
    </w:tbl>
    <w:p>
      <w:pPr>
        <w:pBdr>
          <w:bottom w:val="single" w:sz="8" w:space="10" w:color="E2E8F0"/>
        </w:pBdr>
        <w:spacing w:before="140" w:after="140"/>
      </w:pPr>
    </w:p>
    <w:p>
      <w:pPr>
        <w:pStyle w:val="Heading1"/>
      </w:pPr>
      <w:r>
        <w:t xml:space="preserve">8. Runbook: Testing, Maintenance &amp; Common Pitfalls</w:t>
      </w:r>
    </w:p>
    <w:p>
      <w:pPr>
        <w:pStyle w:val="Heading2"/>
      </w:pPr>
      <w:r>
        <w:t xml:space="preserve">8.1 How to Start the Local Stack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1. Start the Supabase local stack (Docker must be running)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npx supabase start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2. Serve Edge Functions with local environment secrets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npx supabase functions serve --no-verify-jwt --env-file supabase/.env.local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3. Start the Vite frontend development server (in a separate terminal)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cd app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npm run dev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The app is now accessible at http://localhost:5300</w:t>
      </w:r>
    </w:p>
    <w:p>
      <w:pPr>
        <w:pStyle w:val="Heading2"/>
      </w:pPr>
      <w:r>
        <w:t xml:space="preserve">8.2 Testing Commands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cd app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Run unit tests and corpus suites (Vitest)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npm test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Run frontend TypeScript type-checking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npm run typecheck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Run production build validation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npm run build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# Run Playwright browser-level E2E tests (requires running local stack)</w:t>
      </w:r>
    </w:p>
    <w:p>
      <w:pPr>
        <w:pStyle w:val="CodeBlock"/>
      </w:pPr>
      <w:r>
        <w:rPr>
          <w:rFonts w:ascii="Cascadia Code" w:hAnsi="Cascadia Code" w:cs="Consolas"/>
          <w:sz w:val="19"/>
          <w:color w:val="0F172A"/>
        </w:rPr>
        <w:t xml:space="preserve">npm run test:browser</w:t>
      </w:r>
    </w:p>
    <w:p>
      <w:pPr>
        <w:pStyle w:val="Heading2"/>
      </w:pPr>
      <w:r>
        <w:t xml:space="preserve">8.3 Five Pitfalls to Avoid When Developing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1. </w:t>
      </w:r>
      <w:r>
        <w:rPr>
          <w:b/>
        </w:rPr>
        <w:t xml:space="preserve">Never Format Money Inline:</w:t>
      </w:r>
      <w:r>
        <w:t xml:space="preserve"> Always call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fmt(cents)</w:t>
      </w:r>
      <w:r>
        <w:t xml:space="preserve"> or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fmtCents(cents)</w:t>
      </w:r>
      <w:r>
        <w:t xml:space="preserve">. Writing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(amount / 100).toFixed(2)</w:t>
      </w:r>
      <w:r>
        <w:t xml:space="preserve"> in component code bypasses negative-sign rules and will introduce display regressions.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2. </w:t>
      </w:r>
      <w:r>
        <w:rPr>
          <w:b/>
        </w:rPr>
        <w:t xml:space="preserve">Never Add a Table Without RLS:</w:t>
      </w:r>
      <w:r>
        <w:t xml:space="preserve"> Every new migration must end with an assertion block verifying that RLS is enabled and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anon</w:t>
      </w:r>
      <w:r>
        <w:t xml:space="preserve"> has no table permissions.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3. </w:t>
      </w:r>
      <w:r>
        <w:rPr>
          <w:b/>
        </w:rPr>
        <w:t xml:space="preserve">Never Reorder the Expense Taxonomy:</w:t>
      </w:r>
      <w:r>
        <w:t xml:space="preserve"> Category colors are mapped by array index in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categoryColor.ts</w:t>
      </w:r>
      <w:r>
        <w:t xml:space="preserve">. Reordering the array will silently swap the colors of existing expense categories.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4. </w:t>
      </w:r>
      <w:r>
        <w:rPr>
          <w:b/>
        </w:rPr>
        <w:t xml:space="preserve">Never Bypass `withAuth.ts` in Edge Functions:</w:t>
      </w:r>
      <w:r>
        <w:t xml:space="preserve"> Do not write custom request parsing in Edge Functions. Always wrap endpoint handlers with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withAuth()</w:t>
      </w:r>
      <w:r>
        <w:t xml:space="preserve"> to enforce origin checks, JWT validation, and rate limits.</w:t>
      </w:r>
    </w:p>
    <w:p>
      <w:pPr>
        <w:ind w:left="420" w:hanging="260"/>
        <w:spacing w:after="80" w:before="0"/>
      </w:pPr>
      <w:r>
        <w:rPr>
          <w:b/>
          <w:color w:val="11B596"/>
        </w:rPr>
        <w:t xml:space="preserve">5. </w:t>
      </w:r>
      <w:r>
        <w:rPr>
          <w:b/>
        </w:rPr>
        <w:t xml:space="preserve">Never Mutate Data During Fetch in Modals:</w:t>
      </w:r>
      <w:r>
        <w:t xml:space="preserve">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DataContext.refreshData()</w:t>
      </w:r>
      <w:r>
        <w:t xml:space="preserve"> sets </w:t>
      </w:r>
      <w:r>
        <w:rPr>
          <w:rFonts w:ascii="Cascadia Code" w:hAnsi="Cascadia Code" w:cs="Consolas"/>
          <w:shd w:val="clear" w:color="auto" w:fill="F1F5F9"/>
          <w:color w:val="0F172A"/>
          <w:sz w:val="20"/>
        </w:rPr>
        <w:t xml:space="preserve">loading = true</w:t>
      </w:r>
      <w:r>
        <w:t xml:space="preserve">, which temporarily unmounts routed views. Always defer data refreshing until after a modal or multi-step wizard has completed its closing transition.</w:t>
      </w:r>
    </w:p>
    <w:p>
      <w:pPr>
        <w:pBdr>
          <w:bottom w:val="single" w:sz="8" w:space="10" w:color="E2E8F0"/>
        </w:pBdr>
        <w:spacing w:before="140" w:after="140"/>
      </w:pPr>
    </w:p>
    <w:p>
      <w:r>
        <w:rPr>
          <w:i/>
        </w:rPr>
        <w:t xml:space="preserve">Document generated as the authoritative architecture and operation guide for Halcyon.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Arial" w:hAnsi="Arial"/>
        <w:color w:val="11B596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2222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Title">
    <w:name w:val="Title"/>
    <w:pPr>
      <w:spacing w:before="240" w:after="200"/>
    </w:pPr>
    <w:rPr>
      <w:rFonts w:ascii="Segoe UI Semibold" w:hAnsi="Segoe UI Semibold"/>
      <w:b/>
      <w:sz w:val="52"/>
      <w:color w:val="11B596"/>
    </w:rPr>
  </w:style>
  <w:style w:type="paragraph" w:styleId="Subtitle">
    <w:name w:val="Subtitle"/>
    <w:pPr>
      <w:spacing w:before="0" w:after="240"/>
    </w:pPr>
    <w:rPr>
      <w:rFonts w:ascii="Segoe UI Light" w:hAnsi="Segoe UI Light"/>
      <w:i/>
      <w:sz w:val="26"/>
      <w:color w:val="666666"/>
    </w:rPr>
  </w:style>
  <w:style w:type="paragraph" w:styleId="Heading1">
    <w:name w:val="heading 1"/>
    <w:pPr>
      <w:spacing w:before="360" w:after="160"/>
    </w:pPr>
    <w:rPr>
      <w:rFonts w:ascii="Segoe UI Semibold" w:hAnsi="Segoe UI Semibold"/>
      <w:b/>
      <w:sz w:val="36"/>
      <w:color w:val="0F172A"/>
    </w:rPr>
  </w:style>
  <w:style w:type="paragraph" w:styleId="Heading2">
    <w:name w:val="heading 2"/>
    <w:pPr>
      <w:spacing w:before="280" w:after="120"/>
    </w:pPr>
    <w:rPr>
      <w:rFonts w:ascii="Segoe UI Semibold" w:hAnsi="Segoe UI Semibold"/>
      <w:b/>
      <w:sz w:val="28"/>
      <w:color w:val="11B596"/>
    </w:rPr>
  </w:style>
  <w:style w:type="paragraph" w:styleId="Heading3">
    <w:name w:val="heading 3"/>
    <w:pPr>
      <w:spacing w:before="200" w:after="100"/>
    </w:pPr>
    <w:rPr>
      <w:rFonts w:ascii="Segoe UI Semibold" w:hAnsi="Segoe UI Semibold"/>
      <w:b/>
      <w:sz w:val="24"/>
      <w:color w:val="334155"/>
    </w:rPr>
  </w:style>
  <w:style w:type="paragraph" w:styleId="Callout">
    <w:name w:val="Callout"/>
    <w:pPr>
      <w:pBdr>
        <w:left w:val="single" w:sz="24" w:space="12" w:color="11B596"/>
      </w:pBdr>
      <w:shd w:val="clear" w:color="auto" w:fill="F1F5F9"/>
      <w:spacing w:before="120" w:after="120"/>
      <w:ind w:left="240" w:right="240"/>
    </w:pPr>
    <w:rPr>
      <w:color w:val="334155"/>
    </w:rPr>
  </w:style>
  <w:style w:type="paragraph" w:styleId="CodeBlock">
    <w:name w:val="CodeBlock"/>
    <w:pPr>
      <w:shd w:val="clear" w:color="auto" w:fill="F8FAFC"/>
      <w:spacing w:before="80" w:after="80" w:line="240" w:lineRule="auto"/>
      <w:ind w:left="200" w:right="200"/>
    </w:pPr>
    <w:rPr>
      <w:rFonts w:ascii="Cascadia Code" w:hAnsi="Cascadia Code" w:cs="Consolas"/>
      <w:sz w:val="19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