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A28C37" w14:textId="21A06D59" w:rsidR="003530EC" w:rsidRDefault="00000000" w:rsidP="007E1D61">
      <w:pPr>
        <w:spacing w:before="240" w:after="40"/>
      </w:pPr>
      <w:r>
        <w:rPr>
          <w:rFonts w:ascii="Arial" w:hAnsi="Arial"/>
          <w:b/>
          <w:color w:val="1F3A60"/>
          <w:sz w:val="44"/>
        </w:rPr>
        <w:t>Personal Financial Position &amp; Property Acquisition Strategy</w:t>
      </w:r>
      <w:r w:rsidR="007E1D61">
        <w:rPr>
          <w:rFonts w:ascii="Arial" w:hAnsi="Arial"/>
          <w:b/>
          <w:color w:val="1F3A60"/>
          <w:sz w:val="44"/>
        </w:rPr>
        <w:t xml:space="preserve"> </w:t>
      </w:r>
      <w:r w:rsidR="00484318">
        <w:rPr>
          <w:rFonts w:ascii="Arial" w:hAnsi="Arial"/>
          <w:b/>
          <w:color w:val="1F3A60"/>
          <w:sz w:val="44"/>
        </w:rPr>
        <w:t>–</w:t>
      </w:r>
      <w:r w:rsidR="007E1D61">
        <w:rPr>
          <w:rFonts w:ascii="Arial" w:hAnsi="Arial"/>
          <w:b/>
          <w:color w:val="1F3A60"/>
          <w:sz w:val="44"/>
        </w:rPr>
        <w:t xml:space="preserve"> Joel</w:t>
      </w:r>
      <w:r w:rsidR="00484318">
        <w:rPr>
          <w:rFonts w:ascii="Arial" w:hAnsi="Arial"/>
          <w:b/>
          <w:color w:val="1F3A60"/>
          <w:sz w:val="44"/>
        </w:rPr>
        <w:t xml:space="preserve"> (as of Aug 2026)</w:t>
      </w:r>
    </w:p>
    <w:p w14:paraId="49EA1B62" w14:textId="77777777" w:rsidR="003530EC" w:rsidRDefault="00000000">
      <w:pPr>
        <w:keepNext/>
        <w:spacing w:before="360" w:after="120"/>
      </w:pPr>
      <w:r>
        <w:rPr>
          <w:rFonts w:ascii="Arial" w:hAnsi="Arial"/>
          <w:b/>
          <w:color w:val="1F3A60"/>
          <w:sz w:val="32"/>
        </w:rPr>
        <w:t>Executive Summary</w:t>
      </w:r>
    </w:p>
    <w:p w14:paraId="35294CC1" w14:textId="06113733" w:rsidR="003530EC" w:rsidRDefault="00000000">
      <w:pPr>
        <w:spacing w:after="120"/>
      </w:pPr>
      <w:r>
        <w:rPr>
          <w:rFonts w:ascii="Arial" w:hAnsi="Arial"/>
          <w:color w:val="333333"/>
          <w:sz w:val="21"/>
        </w:rPr>
        <w:t>This document presents a comprehensive overview of my current financial position and evaluates viable pathways to transition from living at home</w:t>
      </w:r>
      <w:r w:rsidR="007E1D61">
        <w:rPr>
          <w:rFonts w:ascii="Arial" w:hAnsi="Arial"/>
          <w:color w:val="333333"/>
          <w:sz w:val="21"/>
        </w:rPr>
        <w:t>.</w:t>
      </w:r>
    </w:p>
    <w:tbl>
      <w:tblPr>
        <w:tblW w:w="0" w:type="auto"/>
        <w:jc w:val="center"/>
        <w:tblLayout w:type="fixed"/>
        <w:tblLook w:val="04A0" w:firstRow="1" w:lastRow="0" w:firstColumn="1" w:lastColumn="0" w:noHBand="0" w:noVBand="1"/>
      </w:tblPr>
      <w:tblGrid>
        <w:gridCol w:w="9360"/>
      </w:tblGrid>
      <w:tr w:rsidR="003530EC" w14:paraId="17FCE3A8" w14:textId="77777777">
        <w:trPr>
          <w:jc w:val="center"/>
        </w:trPr>
        <w:tc>
          <w:tcPr>
            <w:tcW w:w="9360" w:type="dxa"/>
            <w:tcBorders>
              <w:left w:val="single" w:sz="36" w:space="0" w:color="0F766E"/>
            </w:tcBorders>
            <w:shd w:val="clear" w:color="auto" w:fill="F1F5F9"/>
            <w:tcMar>
              <w:top w:w="140" w:type="dxa"/>
              <w:left w:w="200" w:type="dxa"/>
              <w:bottom w:w="140" w:type="dxa"/>
              <w:right w:w="140" w:type="dxa"/>
            </w:tcMar>
          </w:tcPr>
          <w:p w14:paraId="0C724CE7" w14:textId="48DA79F3" w:rsidR="003530EC" w:rsidRDefault="00000000">
            <w:pPr>
              <w:spacing w:after="0"/>
            </w:pPr>
            <w:r>
              <w:rPr>
                <w:rFonts w:ascii="Arial" w:hAnsi="Arial"/>
                <w:b/>
                <w:color w:val="0F766E"/>
                <w:sz w:val="21"/>
              </w:rPr>
              <w:t>Key Financial Strength</w:t>
            </w:r>
            <w:r>
              <w:rPr>
                <w:rFonts w:ascii="Arial" w:hAnsi="Arial"/>
                <w:b/>
                <w:color w:val="0F766E"/>
                <w:sz w:val="21"/>
              </w:rPr>
              <w:br/>
            </w:r>
            <w:r>
              <w:rPr>
                <w:rFonts w:ascii="Arial" w:hAnsi="Arial"/>
                <w:i/>
                <w:color w:val="475569"/>
                <w:sz w:val="20"/>
              </w:rPr>
              <w:t xml:space="preserve">As of August 2026, my </w:t>
            </w:r>
            <w:r w:rsidR="007E1D61" w:rsidRPr="007E1D61">
              <w:rPr>
                <w:rFonts w:ascii="Arial" w:hAnsi="Arial"/>
                <w:b/>
                <w:bCs/>
                <w:i/>
                <w:color w:val="475569"/>
                <w:sz w:val="20"/>
              </w:rPr>
              <w:t>total</w:t>
            </w:r>
            <w:r w:rsidR="007E1D61">
              <w:rPr>
                <w:rFonts w:ascii="Arial" w:hAnsi="Arial"/>
                <w:i/>
                <w:color w:val="475569"/>
                <w:sz w:val="20"/>
              </w:rPr>
              <w:t xml:space="preserve"> </w:t>
            </w:r>
            <w:r>
              <w:rPr>
                <w:rFonts w:ascii="Arial" w:hAnsi="Arial"/>
                <w:i/>
                <w:color w:val="475569"/>
                <w:sz w:val="20"/>
              </w:rPr>
              <w:t xml:space="preserve">combined asset portfolio stands at $303,100, consisting of $132,115 in cash reserves, $50,724 in long-term managed funds, and $120,260 in superannuation. I carry $0 in liabilities, having fully paid off my $17,500 HECS debt in December 2025. </w:t>
            </w:r>
          </w:p>
        </w:tc>
      </w:tr>
    </w:tbl>
    <w:p w14:paraId="5BB65E2D" w14:textId="77777777" w:rsidR="003530EC" w:rsidRDefault="003530EC">
      <w:pPr>
        <w:spacing w:after="120"/>
      </w:pPr>
    </w:p>
    <w:p w14:paraId="7E47BC63" w14:textId="77777777" w:rsidR="003530EC" w:rsidRDefault="00000000">
      <w:pPr>
        <w:spacing w:after="240"/>
        <w:jc w:val="center"/>
      </w:pPr>
      <w:r>
        <w:rPr>
          <w:noProof/>
        </w:rPr>
        <w:drawing>
          <wp:inline distT="0" distB="0" distL="0" distR="0" wp14:anchorId="20EDB698" wp14:editId="5A82AD4C">
            <wp:extent cx="5943600" cy="2766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lth_profile.png"/>
                    <pic:cNvPicPr/>
                  </pic:nvPicPr>
                  <pic:blipFill>
                    <a:blip r:embed="rId8"/>
                    <a:stretch>
                      <a:fillRect/>
                    </a:stretch>
                  </pic:blipFill>
                  <pic:spPr>
                    <a:xfrm>
                      <a:off x="0" y="0"/>
                      <a:ext cx="5943600" cy="2766848"/>
                    </a:xfrm>
                    <a:prstGeom prst="rect">
                      <a:avLst/>
                    </a:prstGeom>
                  </pic:spPr>
                </pic:pic>
              </a:graphicData>
            </a:graphic>
          </wp:inline>
        </w:drawing>
      </w:r>
      <w:r>
        <w:rPr>
          <w:rFonts w:ascii="Arial" w:hAnsi="Arial"/>
          <w:i/>
          <w:color w:val="64748B"/>
          <w:sz w:val="18"/>
        </w:rPr>
        <w:br/>
        <w:t>Figure 1: Current asset allocation profile, comparing total assets including superannuation (left, $303,100) and accessible liquid wealth excluding superannuation (right, $182,839).</w:t>
      </w:r>
    </w:p>
    <w:p w14:paraId="21130C37" w14:textId="77777777" w:rsidR="003530EC" w:rsidRDefault="00000000">
      <w:pPr>
        <w:keepNext/>
        <w:spacing w:before="360" w:after="120"/>
      </w:pPr>
      <w:r>
        <w:rPr>
          <w:rFonts w:ascii="Arial" w:hAnsi="Arial"/>
          <w:b/>
          <w:color w:val="1F3A60"/>
          <w:sz w:val="32"/>
        </w:rPr>
        <w:t>1. Current Assets &amp; Demographic Benchmarking</w:t>
      </w:r>
    </w:p>
    <w:p w14:paraId="72C8632F" w14:textId="00852FFB" w:rsidR="003530EC" w:rsidRDefault="00000000">
      <w:pPr>
        <w:spacing w:after="120"/>
      </w:pPr>
      <w:r>
        <w:rPr>
          <w:rFonts w:ascii="Arial" w:hAnsi="Arial"/>
          <w:color w:val="333333"/>
          <w:sz w:val="21"/>
        </w:rPr>
        <w:t>To evaluate progress against the broader Australian economy, my asset position has been benchmarked against official data from the Australian Bureau of Statistics (ABS) and the Australian Taxation Office (ATO) for the 25–29 age bracket:</w:t>
      </w:r>
    </w:p>
    <w:p w14:paraId="0C91EDAD" w14:textId="405CFFA8" w:rsidR="003530EC" w:rsidRDefault="00000000">
      <w:pPr>
        <w:pStyle w:val="ListBullet"/>
        <w:spacing w:after="60"/>
      </w:pPr>
      <w:r>
        <w:rPr>
          <w:rFonts w:ascii="Arial" w:hAnsi="Arial"/>
          <w:b/>
          <w:color w:val="333333"/>
          <w:sz w:val="21"/>
        </w:rPr>
        <w:t xml:space="preserve">Superannuation: </w:t>
      </w:r>
      <w:r w:rsidR="007E1D61">
        <w:rPr>
          <w:rFonts w:ascii="Arial" w:hAnsi="Arial"/>
          <w:color w:val="333333"/>
          <w:sz w:val="21"/>
        </w:rPr>
        <w:t>Balance</w:t>
      </w:r>
      <w:r>
        <w:rPr>
          <w:rFonts w:ascii="Arial" w:hAnsi="Arial"/>
          <w:color w:val="333333"/>
          <w:sz w:val="21"/>
        </w:rPr>
        <w:t xml:space="preserve"> is $120,260.82</w:t>
      </w:r>
      <w:r w:rsidR="007E1D61">
        <w:rPr>
          <w:rFonts w:ascii="Arial" w:hAnsi="Arial"/>
          <w:color w:val="333333"/>
          <w:sz w:val="21"/>
        </w:rPr>
        <w:t xml:space="preserve">. </w:t>
      </w:r>
      <w:r>
        <w:rPr>
          <w:rFonts w:ascii="Arial" w:hAnsi="Arial"/>
          <w:color w:val="333333"/>
          <w:sz w:val="21"/>
        </w:rPr>
        <w:t xml:space="preserve">The national median superannuation balance for individuals aged 25–29 is approximately $19,500, while the average (mean) is $27,500 (skewed upward by outliers). My superannuation is therefore over 6x the median and over 4x the average of </w:t>
      </w:r>
      <w:r w:rsidR="007E1D61">
        <w:rPr>
          <w:rFonts w:ascii="Arial" w:hAnsi="Arial"/>
          <w:color w:val="333333"/>
          <w:sz w:val="21"/>
        </w:rPr>
        <w:t>the same demographic</w:t>
      </w:r>
      <w:r>
        <w:rPr>
          <w:rFonts w:ascii="Arial" w:hAnsi="Arial"/>
          <w:color w:val="333333"/>
          <w:sz w:val="21"/>
        </w:rPr>
        <w:t>. Sources: ATO Taxation Statistics (https://www.ato.gov.au/about-</w:t>
      </w:r>
      <w:r>
        <w:rPr>
          <w:rFonts w:ascii="Arial" w:hAnsi="Arial"/>
          <w:color w:val="333333"/>
          <w:sz w:val="21"/>
        </w:rPr>
        <w:lastRenderedPageBreak/>
        <w:t>ato/research-and-statistics/) and ASFA Superannuation Statistics (https://www.superannuation.asn.au/resources/superannuation-statistics/)</w:t>
      </w:r>
    </w:p>
    <w:p w14:paraId="5557B307" w14:textId="6209F713" w:rsidR="003530EC" w:rsidRDefault="00000000">
      <w:pPr>
        <w:pStyle w:val="ListBullet"/>
        <w:spacing w:after="240"/>
      </w:pPr>
      <w:r>
        <w:rPr>
          <w:rFonts w:ascii="Arial" w:hAnsi="Arial"/>
          <w:b/>
          <w:color w:val="333333"/>
          <w:sz w:val="21"/>
        </w:rPr>
        <w:t xml:space="preserve">Liquid Cash &amp; Savings: </w:t>
      </w:r>
      <w:r w:rsidR="007E1D61">
        <w:rPr>
          <w:rFonts w:ascii="Arial" w:hAnsi="Arial"/>
          <w:color w:val="333333"/>
          <w:sz w:val="21"/>
        </w:rPr>
        <w:t>C</w:t>
      </w:r>
      <w:r>
        <w:rPr>
          <w:rFonts w:ascii="Arial" w:hAnsi="Arial"/>
          <w:color w:val="333333"/>
          <w:sz w:val="21"/>
        </w:rPr>
        <w:t xml:space="preserve">ash reserves are $132,115, compared to a typical national median savings balance of approximately $10,000 and an average of $20,000 for this age bracket. This puts liquid cash reserves at over 13x the median and over 6x the average, providing an insulated, self-funded buffer to manage property purchase costs and unexpected life events independently. </w:t>
      </w:r>
      <w:r w:rsidRPr="007E1D61">
        <w:rPr>
          <w:rFonts w:ascii="Arial" w:hAnsi="Arial"/>
          <w:i/>
          <w:iCs/>
          <w:color w:val="333333"/>
          <w:sz w:val="21"/>
        </w:rPr>
        <w:t>Source: Finder Savings Account Statistics (https://www.finder.com.au/savings-account-statistics)</w:t>
      </w:r>
    </w:p>
    <w:p w14:paraId="207C01B1" w14:textId="77777777" w:rsidR="003530EC" w:rsidRDefault="00000000">
      <w:pPr>
        <w:spacing w:after="240"/>
        <w:jc w:val="center"/>
      </w:pPr>
      <w:r>
        <w:rPr>
          <w:noProof/>
        </w:rPr>
        <w:drawing>
          <wp:inline distT="0" distB="0" distL="0" distR="0" wp14:anchorId="623F32C5" wp14:editId="2D8B9A91">
            <wp:extent cx="4572000" cy="28338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graphic_comparison.png"/>
                    <pic:cNvPicPr/>
                  </pic:nvPicPr>
                  <pic:blipFill>
                    <a:blip r:embed="rId9"/>
                    <a:stretch>
                      <a:fillRect/>
                    </a:stretch>
                  </pic:blipFill>
                  <pic:spPr>
                    <a:xfrm>
                      <a:off x="0" y="0"/>
                      <a:ext cx="4572000" cy="2833868"/>
                    </a:xfrm>
                    <a:prstGeom prst="rect">
                      <a:avLst/>
                    </a:prstGeom>
                  </pic:spPr>
                </pic:pic>
              </a:graphicData>
            </a:graphic>
          </wp:inline>
        </w:drawing>
      </w:r>
      <w:r>
        <w:rPr>
          <w:rFonts w:ascii="Arial" w:hAnsi="Arial"/>
          <w:i/>
          <w:color w:val="64748B"/>
          <w:sz w:val="18"/>
        </w:rPr>
        <w:br/>
        <w:t>Figure 2: Joel's asset comparison against national average (mean) and median benchmarks for the 25–29 age demographic.</w:t>
      </w:r>
    </w:p>
    <w:p w14:paraId="5059973A" w14:textId="77777777" w:rsidR="003530EC" w:rsidRDefault="00000000">
      <w:pPr>
        <w:keepNext/>
        <w:spacing w:before="360" w:after="120"/>
      </w:pPr>
      <w:r>
        <w:rPr>
          <w:rFonts w:ascii="Arial" w:hAnsi="Arial"/>
          <w:b/>
          <w:color w:val="1F3A60"/>
          <w:sz w:val="32"/>
        </w:rPr>
        <w:t>2. Employment, Income &amp; Tax Structure</w:t>
      </w:r>
    </w:p>
    <w:p w14:paraId="180B6131" w14:textId="2B72CFF6" w:rsidR="003530EC" w:rsidRDefault="007E1D61">
      <w:pPr>
        <w:spacing w:after="120"/>
      </w:pPr>
      <w:r>
        <w:rPr>
          <w:rFonts w:ascii="Arial" w:hAnsi="Arial"/>
          <w:color w:val="333333"/>
          <w:sz w:val="21"/>
        </w:rPr>
        <w:t>S</w:t>
      </w:r>
      <w:r w:rsidR="00000000">
        <w:rPr>
          <w:rFonts w:ascii="Arial" w:hAnsi="Arial"/>
          <w:color w:val="333333"/>
          <w:sz w:val="21"/>
        </w:rPr>
        <w:t>alary is set at Higher Education Officer (HEO) Level 9, Maximum Ste</w:t>
      </w:r>
      <w:r>
        <w:rPr>
          <w:rFonts w:ascii="Arial" w:hAnsi="Arial"/>
          <w:color w:val="333333"/>
          <w:sz w:val="21"/>
        </w:rPr>
        <w:t>p</w:t>
      </w:r>
      <w:r w:rsidR="00000000">
        <w:rPr>
          <w:rFonts w:ascii="Arial" w:hAnsi="Arial"/>
          <w:color w:val="333333"/>
          <w:sz w:val="21"/>
        </w:rPr>
        <w:t xml:space="preserve">. </w:t>
      </w:r>
      <w:r>
        <w:rPr>
          <w:rFonts w:ascii="Arial" w:hAnsi="Arial"/>
          <w:color w:val="333333"/>
          <w:sz w:val="21"/>
        </w:rPr>
        <w:t>F</w:t>
      </w:r>
      <w:r w:rsidR="00000000">
        <w:rPr>
          <w:rFonts w:ascii="Arial" w:hAnsi="Arial"/>
          <w:color w:val="333333"/>
          <w:sz w:val="21"/>
        </w:rPr>
        <w:t>ull base salary is $160,430 as of July 1, 2026, and my total package is $187,703 when including the 17% employer superannuation contribution.</w:t>
      </w:r>
    </w:p>
    <w:p w14:paraId="079C5578" w14:textId="6E36D873" w:rsidR="003530EC" w:rsidRDefault="007E1D61">
      <w:pPr>
        <w:spacing w:after="120"/>
      </w:pPr>
      <w:r>
        <w:rPr>
          <w:rFonts w:ascii="Arial" w:hAnsi="Arial"/>
          <w:color w:val="333333"/>
          <w:sz w:val="21"/>
        </w:rPr>
        <w:t>Median</w:t>
      </w:r>
      <w:r w:rsidR="00000000">
        <w:rPr>
          <w:rFonts w:ascii="Arial" w:hAnsi="Arial"/>
          <w:color w:val="333333"/>
          <w:sz w:val="21"/>
        </w:rPr>
        <w:t xml:space="preserve"> full-time earnings for 25–</w:t>
      </w:r>
      <w:proofErr w:type="gramStart"/>
      <w:r w:rsidR="00000000">
        <w:rPr>
          <w:rFonts w:ascii="Arial" w:hAnsi="Arial"/>
          <w:color w:val="333333"/>
          <w:sz w:val="21"/>
        </w:rPr>
        <w:t>34 year olds</w:t>
      </w:r>
      <w:proofErr w:type="gramEnd"/>
      <w:r w:rsidR="00000000">
        <w:rPr>
          <w:rFonts w:ascii="Arial" w:hAnsi="Arial"/>
          <w:color w:val="333333"/>
          <w:sz w:val="21"/>
        </w:rPr>
        <w:t xml:space="preserve"> is approximately $80,000 to $85,000. The tables below break down my tax liabilities and take-home pay structures under the current 2026–2027 Australian tax brackets.</w:t>
      </w:r>
    </w:p>
    <w:p w14:paraId="138786B5" w14:textId="77777777" w:rsidR="003530EC" w:rsidRDefault="00000000">
      <w:pPr>
        <w:keepNext/>
        <w:spacing w:before="240" w:after="80"/>
      </w:pPr>
      <w:r>
        <w:rPr>
          <w:rFonts w:ascii="Arial" w:hAnsi="Arial"/>
          <w:b/>
          <w:color w:val="0F766E"/>
          <w:sz w:val="24"/>
        </w:rPr>
        <w:t>Annual Tax Liability Breakdown (2026–2027 Rates)</w:t>
      </w:r>
    </w:p>
    <w:tbl>
      <w:tblPr>
        <w:tblW w:w="0" w:type="auto"/>
        <w:jc w:val="center"/>
        <w:tblLook w:val="04A0" w:firstRow="1" w:lastRow="0" w:firstColumn="1" w:lastColumn="0" w:noHBand="0" w:noVBand="1"/>
      </w:tblPr>
      <w:tblGrid>
        <w:gridCol w:w="3424"/>
        <w:gridCol w:w="2949"/>
        <w:gridCol w:w="2987"/>
      </w:tblGrid>
      <w:tr w:rsidR="003530EC" w14:paraId="1BAF0245" w14:textId="77777777">
        <w:trPr>
          <w:jc w:val="center"/>
        </w:trPr>
        <w:tc>
          <w:tcPr>
            <w:tcW w:w="3600" w:type="dxa"/>
            <w:shd w:val="clear" w:color="auto" w:fill="1F3A60"/>
            <w:tcMar>
              <w:top w:w="120" w:type="dxa"/>
              <w:left w:w="120" w:type="dxa"/>
              <w:bottom w:w="120" w:type="dxa"/>
              <w:right w:w="120" w:type="dxa"/>
            </w:tcMar>
          </w:tcPr>
          <w:p w14:paraId="51478460" w14:textId="77777777" w:rsidR="003530EC" w:rsidRDefault="00000000">
            <w:pPr>
              <w:spacing w:after="0"/>
            </w:pPr>
            <w:r>
              <w:rPr>
                <w:rFonts w:ascii="Arial" w:hAnsi="Arial"/>
                <w:b/>
                <w:color w:val="FFFFFF"/>
                <w:sz w:val="19"/>
              </w:rPr>
              <w:t>Income Bracket</w:t>
            </w:r>
          </w:p>
        </w:tc>
        <w:tc>
          <w:tcPr>
            <w:tcW w:w="2880" w:type="dxa"/>
            <w:shd w:val="clear" w:color="auto" w:fill="1F3A60"/>
            <w:tcMar>
              <w:top w:w="120" w:type="dxa"/>
              <w:left w:w="120" w:type="dxa"/>
              <w:bottom w:w="120" w:type="dxa"/>
              <w:right w:w="120" w:type="dxa"/>
            </w:tcMar>
          </w:tcPr>
          <w:p w14:paraId="3FAE40AD" w14:textId="77777777" w:rsidR="003530EC" w:rsidRDefault="00000000">
            <w:pPr>
              <w:spacing w:after="0"/>
              <w:jc w:val="right"/>
            </w:pPr>
            <w:r>
              <w:rPr>
                <w:rFonts w:ascii="Arial" w:hAnsi="Arial"/>
                <w:b/>
                <w:color w:val="FFFFFF"/>
                <w:sz w:val="19"/>
              </w:rPr>
              <w:t>Tax Rate</w:t>
            </w:r>
          </w:p>
        </w:tc>
        <w:tc>
          <w:tcPr>
            <w:tcW w:w="2880" w:type="dxa"/>
            <w:shd w:val="clear" w:color="auto" w:fill="1F3A60"/>
            <w:tcMar>
              <w:top w:w="120" w:type="dxa"/>
              <w:left w:w="120" w:type="dxa"/>
              <w:bottom w:w="120" w:type="dxa"/>
              <w:right w:w="120" w:type="dxa"/>
            </w:tcMar>
          </w:tcPr>
          <w:p w14:paraId="1AF3F29C" w14:textId="77777777" w:rsidR="003530EC" w:rsidRDefault="00000000">
            <w:pPr>
              <w:spacing w:after="0"/>
              <w:jc w:val="right"/>
            </w:pPr>
            <w:r>
              <w:rPr>
                <w:rFonts w:ascii="Arial" w:hAnsi="Arial"/>
                <w:b/>
                <w:color w:val="FFFFFF"/>
                <w:sz w:val="19"/>
              </w:rPr>
              <w:t>Tax Amount (AUD)</w:t>
            </w:r>
          </w:p>
        </w:tc>
      </w:tr>
      <w:tr w:rsidR="003530EC" w14:paraId="76C15B03"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23F6E25E" w14:textId="77777777" w:rsidR="003530EC" w:rsidRDefault="00000000">
            <w:pPr>
              <w:spacing w:after="0"/>
            </w:pPr>
            <w:r>
              <w:t>$0 to $18,200</w:t>
            </w:r>
          </w:p>
        </w:tc>
        <w:tc>
          <w:tcPr>
            <w:tcW w:w="2880" w:type="dxa"/>
            <w:tcBorders>
              <w:bottom w:val="single" w:sz="4" w:space="0" w:color="E2E8F0"/>
            </w:tcBorders>
            <w:shd w:val="clear" w:color="auto" w:fill="F8FAFC"/>
            <w:tcMar>
              <w:top w:w="100" w:type="dxa"/>
              <w:left w:w="120" w:type="dxa"/>
              <w:bottom w:w="100" w:type="dxa"/>
              <w:right w:w="120" w:type="dxa"/>
            </w:tcMar>
          </w:tcPr>
          <w:p w14:paraId="5156E6B2" w14:textId="77777777" w:rsidR="003530EC" w:rsidRDefault="00000000">
            <w:pPr>
              <w:spacing w:after="0"/>
              <w:jc w:val="right"/>
            </w:pPr>
            <w:r>
              <w:t>0%</w:t>
            </w:r>
          </w:p>
        </w:tc>
        <w:tc>
          <w:tcPr>
            <w:tcW w:w="2880" w:type="dxa"/>
            <w:tcBorders>
              <w:bottom w:val="single" w:sz="4" w:space="0" w:color="E2E8F0"/>
            </w:tcBorders>
            <w:shd w:val="clear" w:color="auto" w:fill="F8FAFC"/>
            <w:tcMar>
              <w:top w:w="100" w:type="dxa"/>
              <w:left w:w="120" w:type="dxa"/>
              <w:bottom w:w="100" w:type="dxa"/>
              <w:right w:w="120" w:type="dxa"/>
            </w:tcMar>
          </w:tcPr>
          <w:p w14:paraId="0DDD1D7F" w14:textId="77777777" w:rsidR="003530EC" w:rsidRDefault="00000000">
            <w:pPr>
              <w:spacing w:after="0"/>
              <w:jc w:val="right"/>
            </w:pPr>
            <w:r>
              <w:t>$0.00</w:t>
            </w:r>
          </w:p>
        </w:tc>
      </w:tr>
      <w:tr w:rsidR="003530EC" w14:paraId="1CFD52F8"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72CD8609" w14:textId="77777777" w:rsidR="003530EC" w:rsidRDefault="00000000">
            <w:pPr>
              <w:spacing w:after="0"/>
            </w:pPr>
            <w:r>
              <w:t>$18,201 to $45,000</w:t>
            </w:r>
          </w:p>
        </w:tc>
        <w:tc>
          <w:tcPr>
            <w:tcW w:w="2880" w:type="dxa"/>
            <w:tcBorders>
              <w:bottom w:val="single" w:sz="4" w:space="0" w:color="E2E8F0"/>
            </w:tcBorders>
            <w:shd w:val="clear" w:color="auto" w:fill="FFFFFF"/>
            <w:tcMar>
              <w:top w:w="100" w:type="dxa"/>
              <w:left w:w="120" w:type="dxa"/>
              <w:bottom w:w="100" w:type="dxa"/>
              <w:right w:w="120" w:type="dxa"/>
            </w:tcMar>
          </w:tcPr>
          <w:p w14:paraId="519C0287" w14:textId="77777777" w:rsidR="003530EC" w:rsidRDefault="00000000">
            <w:pPr>
              <w:spacing w:after="0"/>
              <w:jc w:val="right"/>
            </w:pPr>
            <w:r>
              <w:t>16%</w:t>
            </w:r>
          </w:p>
        </w:tc>
        <w:tc>
          <w:tcPr>
            <w:tcW w:w="2880" w:type="dxa"/>
            <w:tcBorders>
              <w:bottom w:val="single" w:sz="4" w:space="0" w:color="E2E8F0"/>
            </w:tcBorders>
            <w:shd w:val="clear" w:color="auto" w:fill="FFFFFF"/>
            <w:tcMar>
              <w:top w:w="100" w:type="dxa"/>
              <w:left w:w="120" w:type="dxa"/>
              <w:bottom w:w="100" w:type="dxa"/>
              <w:right w:w="120" w:type="dxa"/>
            </w:tcMar>
          </w:tcPr>
          <w:p w14:paraId="6919C73D" w14:textId="77777777" w:rsidR="003530EC" w:rsidRDefault="00000000">
            <w:pPr>
              <w:spacing w:after="0"/>
              <w:jc w:val="right"/>
            </w:pPr>
            <w:r>
              <w:t>$4,288.00</w:t>
            </w:r>
          </w:p>
        </w:tc>
      </w:tr>
      <w:tr w:rsidR="003530EC" w14:paraId="450BCBC6"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3D64A579" w14:textId="77777777" w:rsidR="003530EC" w:rsidRDefault="00000000">
            <w:pPr>
              <w:spacing w:after="0"/>
            </w:pPr>
            <w:r>
              <w:t>$45,001 to $135,000</w:t>
            </w:r>
          </w:p>
        </w:tc>
        <w:tc>
          <w:tcPr>
            <w:tcW w:w="2880" w:type="dxa"/>
            <w:tcBorders>
              <w:bottom w:val="single" w:sz="4" w:space="0" w:color="E2E8F0"/>
            </w:tcBorders>
            <w:shd w:val="clear" w:color="auto" w:fill="F8FAFC"/>
            <w:tcMar>
              <w:top w:w="100" w:type="dxa"/>
              <w:left w:w="120" w:type="dxa"/>
              <w:bottom w:w="100" w:type="dxa"/>
              <w:right w:w="120" w:type="dxa"/>
            </w:tcMar>
          </w:tcPr>
          <w:p w14:paraId="592CE155" w14:textId="77777777" w:rsidR="003530EC" w:rsidRDefault="00000000">
            <w:pPr>
              <w:spacing w:after="0"/>
              <w:jc w:val="right"/>
            </w:pPr>
            <w:r>
              <w:t>30%</w:t>
            </w:r>
          </w:p>
        </w:tc>
        <w:tc>
          <w:tcPr>
            <w:tcW w:w="2880" w:type="dxa"/>
            <w:tcBorders>
              <w:bottom w:val="single" w:sz="4" w:space="0" w:color="E2E8F0"/>
            </w:tcBorders>
            <w:shd w:val="clear" w:color="auto" w:fill="F8FAFC"/>
            <w:tcMar>
              <w:top w:w="100" w:type="dxa"/>
              <w:left w:w="120" w:type="dxa"/>
              <w:bottom w:w="100" w:type="dxa"/>
              <w:right w:w="120" w:type="dxa"/>
            </w:tcMar>
          </w:tcPr>
          <w:p w14:paraId="29CD5392" w14:textId="77777777" w:rsidR="003530EC" w:rsidRDefault="00000000">
            <w:pPr>
              <w:spacing w:after="0"/>
              <w:jc w:val="right"/>
            </w:pPr>
            <w:r>
              <w:t>$27,000.00</w:t>
            </w:r>
          </w:p>
        </w:tc>
      </w:tr>
      <w:tr w:rsidR="003530EC" w14:paraId="68311089"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70954C8F" w14:textId="77777777" w:rsidR="003530EC" w:rsidRDefault="00000000">
            <w:pPr>
              <w:spacing w:after="0"/>
            </w:pPr>
            <w:r>
              <w:lastRenderedPageBreak/>
              <w:t>$135,001 to $160,430</w:t>
            </w:r>
          </w:p>
        </w:tc>
        <w:tc>
          <w:tcPr>
            <w:tcW w:w="2880" w:type="dxa"/>
            <w:tcBorders>
              <w:bottom w:val="single" w:sz="4" w:space="0" w:color="E2E8F0"/>
            </w:tcBorders>
            <w:shd w:val="clear" w:color="auto" w:fill="FFFFFF"/>
            <w:tcMar>
              <w:top w:w="100" w:type="dxa"/>
              <w:left w:w="120" w:type="dxa"/>
              <w:bottom w:w="100" w:type="dxa"/>
              <w:right w:w="120" w:type="dxa"/>
            </w:tcMar>
          </w:tcPr>
          <w:p w14:paraId="2AA6FDCA" w14:textId="77777777" w:rsidR="003530EC" w:rsidRDefault="00000000">
            <w:pPr>
              <w:spacing w:after="0"/>
              <w:jc w:val="right"/>
            </w:pPr>
            <w:r>
              <w:t>37%</w:t>
            </w:r>
          </w:p>
        </w:tc>
        <w:tc>
          <w:tcPr>
            <w:tcW w:w="2880" w:type="dxa"/>
            <w:tcBorders>
              <w:bottom w:val="single" w:sz="4" w:space="0" w:color="E2E8F0"/>
            </w:tcBorders>
            <w:shd w:val="clear" w:color="auto" w:fill="FFFFFF"/>
            <w:tcMar>
              <w:top w:w="100" w:type="dxa"/>
              <w:left w:w="120" w:type="dxa"/>
              <w:bottom w:w="100" w:type="dxa"/>
              <w:right w:w="120" w:type="dxa"/>
            </w:tcMar>
          </w:tcPr>
          <w:p w14:paraId="6363012D" w14:textId="77777777" w:rsidR="003530EC" w:rsidRDefault="00000000">
            <w:pPr>
              <w:spacing w:after="0"/>
              <w:jc w:val="right"/>
            </w:pPr>
            <w:r>
              <w:t>$9,409.10</w:t>
            </w:r>
          </w:p>
        </w:tc>
      </w:tr>
      <w:tr w:rsidR="003530EC" w14:paraId="1445DC92"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3D5434E8" w14:textId="77777777" w:rsidR="003530EC" w:rsidRDefault="00000000">
            <w:pPr>
              <w:spacing w:after="0"/>
            </w:pPr>
            <w:r>
              <w:rPr>
                <w:b/>
              </w:rPr>
              <w:t>Medicare Levy (2.0%)</w:t>
            </w:r>
          </w:p>
        </w:tc>
        <w:tc>
          <w:tcPr>
            <w:tcW w:w="2880" w:type="dxa"/>
            <w:tcBorders>
              <w:bottom w:val="single" w:sz="4" w:space="0" w:color="E2E8F0"/>
            </w:tcBorders>
            <w:shd w:val="clear" w:color="auto" w:fill="F8FAFC"/>
            <w:tcMar>
              <w:top w:w="100" w:type="dxa"/>
              <w:left w:w="120" w:type="dxa"/>
              <w:bottom w:w="100" w:type="dxa"/>
              <w:right w:w="120" w:type="dxa"/>
            </w:tcMar>
          </w:tcPr>
          <w:p w14:paraId="627E79A7" w14:textId="77777777" w:rsidR="003530EC" w:rsidRDefault="00000000">
            <w:pPr>
              <w:spacing w:after="0"/>
              <w:jc w:val="right"/>
            </w:pPr>
            <w:r>
              <w:rPr>
                <w:b/>
              </w:rPr>
              <w:t>2.0% of Total</w:t>
            </w:r>
          </w:p>
        </w:tc>
        <w:tc>
          <w:tcPr>
            <w:tcW w:w="2880" w:type="dxa"/>
            <w:tcBorders>
              <w:bottom w:val="single" w:sz="4" w:space="0" w:color="E2E8F0"/>
            </w:tcBorders>
            <w:shd w:val="clear" w:color="auto" w:fill="F8FAFC"/>
            <w:tcMar>
              <w:top w:w="100" w:type="dxa"/>
              <w:left w:w="120" w:type="dxa"/>
              <w:bottom w:w="100" w:type="dxa"/>
              <w:right w:w="120" w:type="dxa"/>
            </w:tcMar>
          </w:tcPr>
          <w:p w14:paraId="290DDF8D" w14:textId="77777777" w:rsidR="003530EC" w:rsidRDefault="00000000">
            <w:pPr>
              <w:spacing w:after="0"/>
              <w:jc w:val="right"/>
            </w:pPr>
            <w:r>
              <w:rPr>
                <w:b/>
              </w:rPr>
              <w:t>$3,208.60</w:t>
            </w:r>
          </w:p>
        </w:tc>
      </w:tr>
      <w:tr w:rsidR="003530EC" w14:paraId="0DD91BD3" w14:textId="77777777">
        <w:trPr>
          <w:jc w:val="center"/>
        </w:trPr>
        <w:tc>
          <w:tcPr>
            <w:tcW w:w="3120" w:type="dxa"/>
            <w:shd w:val="clear" w:color="auto" w:fill="F1F5F9"/>
            <w:tcMar>
              <w:top w:w="100" w:type="dxa"/>
              <w:left w:w="120" w:type="dxa"/>
              <w:bottom w:w="100" w:type="dxa"/>
              <w:right w:w="120" w:type="dxa"/>
            </w:tcMar>
          </w:tcPr>
          <w:p w14:paraId="572B974B" w14:textId="77777777" w:rsidR="003530EC" w:rsidRDefault="00000000">
            <w:r>
              <w:rPr>
                <w:rFonts w:ascii="Arial" w:hAnsi="Arial"/>
                <w:b/>
                <w:sz w:val="19"/>
              </w:rPr>
              <w:t>Total Annual Income Tax</w:t>
            </w:r>
          </w:p>
        </w:tc>
        <w:tc>
          <w:tcPr>
            <w:tcW w:w="3120" w:type="dxa"/>
            <w:shd w:val="clear" w:color="auto" w:fill="F1F5F9"/>
            <w:tcMar>
              <w:top w:w="100" w:type="dxa"/>
              <w:left w:w="120" w:type="dxa"/>
              <w:bottom w:w="100" w:type="dxa"/>
              <w:right w:w="120" w:type="dxa"/>
            </w:tcMar>
          </w:tcPr>
          <w:p w14:paraId="3E57F24F" w14:textId="77777777" w:rsidR="003530EC" w:rsidRDefault="003530EC"/>
        </w:tc>
        <w:tc>
          <w:tcPr>
            <w:tcW w:w="3120" w:type="dxa"/>
            <w:shd w:val="clear" w:color="auto" w:fill="E2E8F0"/>
            <w:tcMar>
              <w:top w:w="100" w:type="dxa"/>
              <w:left w:w="120" w:type="dxa"/>
              <w:bottom w:w="100" w:type="dxa"/>
              <w:right w:w="120" w:type="dxa"/>
            </w:tcMar>
          </w:tcPr>
          <w:p w14:paraId="4EF7A747" w14:textId="77777777" w:rsidR="003530EC" w:rsidRDefault="00000000">
            <w:pPr>
              <w:jc w:val="right"/>
            </w:pPr>
            <w:r>
              <w:rPr>
                <w:rFonts w:ascii="Arial" w:hAnsi="Arial"/>
                <w:b/>
                <w:sz w:val="19"/>
              </w:rPr>
              <w:t>$43,905.70</w:t>
            </w:r>
          </w:p>
        </w:tc>
      </w:tr>
    </w:tbl>
    <w:p w14:paraId="5D0D16A3" w14:textId="77777777" w:rsidR="003530EC" w:rsidRDefault="003530EC">
      <w:pPr>
        <w:spacing w:after="120"/>
      </w:pPr>
    </w:p>
    <w:tbl>
      <w:tblPr>
        <w:tblW w:w="0" w:type="auto"/>
        <w:jc w:val="center"/>
        <w:tblLayout w:type="fixed"/>
        <w:tblLook w:val="04A0" w:firstRow="1" w:lastRow="0" w:firstColumn="1" w:lastColumn="0" w:noHBand="0" w:noVBand="1"/>
      </w:tblPr>
      <w:tblGrid>
        <w:gridCol w:w="9360"/>
      </w:tblGrid>
      <w:tr w:rsidR="003530EC" w14:paraId="24B60418" w14:textId="77777777">
        <w:trPr>
          <w:jc w:val="center"/>
        </w:trPr>
        <w:tc>
          <w:tcPr>
            <w:tcW w:w="9360" w:type="dxa"/>
            <w:tcBorders>
              <w:left w:val="single" w:sz="36" w:space="0" w:color="0F766E"/>
            </w:tcBorders>
            <w:shd w:val="clear" w:color="auto" w:fill="F1F5F9"/>
            <w:tcMar>
              <w:top w:w="140" w:type="dxa"/>
              <w:left w:w="200" w:type="dxa"/>
              <w:bottom w:w="140" w:type="dxa"/>
              <w:right w:w="140" w:type="dxa"/>
            </w:tcMar>
          </w:tcPr>
          <w:p w14:paraId="5A2A52C4" w14:textId="77777777" w:rsidR="003530EC" w:rsidRDefault="00000000">
            <w:pPr>
              <w:spacing w:after="0"/>
            </w:pPr>
            <w:r>
              <w:rPr>
                <w:rFonts w:ascii="Arial" w:hAnsi="Arial"/>
                <w:b/>
                <w:color w:val="0F766E"/>
                <w:sz w:val="21"/>
              </w:rPr>
              <w:t>Private Health Insurance (PHI) Tax Advantage</w:t>
            </w:r>
            <w:r>
              <w:rPr>
                <w:rFonts w:ascii="Arial" w:hAnsi="Arial"/>
                <w:b/>
                <w:color w:val="0F766E"/>
                <w:sz w:val="21"/>
              </w:rPr>
              <w:br/>
            </w:r>
            <w:r>
              <w:rPr>
                <w:rFonts w:ascii="Arial" w:hAnsi="Arial"/>
                <w:i/>
                <w:color w:val="475569"/>
                <w:sz w:val="20"/>
              </w:rPr>
              <w:t>With a gross salary of $160,430, I fall into Tier 3 ($158,000+) for the Medicare Levy Surcharge (MLS). Without private hospital cover, I would incur a 1.5% surcharge ($2,406/year). By maintaining my current AHM private health insurance policy at ~$130/month ($1,560/year), I legally avoid this surcharge, resulting in a net tax saving of ~$846 per year.</w:t>
            </w:r>
          </w:p>
        </w:tc>
      </w:tr>
    </w:tbl>
    <w:p w14:paraId="75C7CCDB" w14:textId="77777777" w:rsidR="003530EC" w:rsidRDefault="003530EC">
      <w:pPr>
        <w:spacing w:after="120"/>
      </w:pPr>
    </w:p>
    <w:p w14:paraId="0D0AD9FC" w14:textId="77777777" w:rsidR="003530EC" w:rsidRDefault="00000000">
      <w:pPr>
        <w:keepNext/>
        <w:spacing w:before="240" w:after="80"/>
      </w:pPr>
      <w:r>
        <w:rPr>
          <w:rFonts w:ascii="Arial" w:hAnsi="Arial"/>
          <w:b/>
          <w:color w:val="0F766E"/>
          <w:sz w:val="24"/>
        </w:rPr>
        <w:t>Net Income &amp; Take-Home Pay Analysis</w:t>
      </w:r>
    </w:p>
    <w:tbl>
      <w:tblPr>
        <w:tblW w:w="0" w:type="auto"/>
        <w:jc w:val="center"/>
        <w:tblLook w:val="04A0" w:firstRow="1" w:lastRow="0" w:firstColumn="1" w:lastColumn="0" w:noHBand="0" w:noVBand="1"/>
      </w:tblPr>
      <w:tblGrid>
        <w:gridCol w:w="5760"/>
        <w:gridCol w:w="3600"/>
      </w:tblGrid>
      <w:tr w:rsidR="003530EC" w14:paraId="4470ECC5" w14:textId="77777777">
        <w:trPr>
          <w:jc w:val="center"/>
        </w:trPr>
        <w:tc>
          <w:tcPr>
            <w:tcW w:w="5760" w:type="dxa"/>
            <w:shd w:val="clear" w:color="auto" w:fill="1F3A60"/>
            <w:tcMar>
              <w:top w:w="120" w:type="dxa"/>
              <w:left w:w="120" w:type="dxa"/>
              <w:bottom w:w="120" w:type="dxa"/>
              <w:right w:w="120" w:type="dxa"/>
            </w:tcMar>
          </w:tcPr>
          <w:p w14:paraId="745945BA" w14:textId="77777777" w:rsidR="003530EC" w:rsidRDefault="00000000">
            <w:pPr>
              <w:spacing w:after="0"/>
            </w:pPr>
            <w:r>
              <w:rPr>
                <w:rFonts w:ascii="Arial" w:hAnsi="Arial"/>
                <w:b/>
                <w:color w:val="FFFFFF"/>
                <w:sz w:val="19"/>
              </w:rPr>
              <w:t>Income Category</w:t>
            </w:r>
          </w:p>
        </w:tc>
        <w:tc>
          <w:tcPr>
            <w:tcW w:w="3600" w:type="dxa"/>
            <w:shd w:val="clear" w:color="auto" w:fill="1F3A60"/>
            <w:tcMar>
              <w:top w:w="120" w:type="dxa"/>
              <w:left w:w="120" w:type="dxa"/>
              <w:bottom w:w="120" w:type="dxa"/>
              <w:right w:w="120" w:type="dxa"/>
            </w:tcMar>
          </w:tcPr>
          <w:p w14:paraId="1FD4DEB8" w14:textId="77777777" w:rsidR="003530EC" w:rsidRDefault="00000000">
            <w:pPr>
              <w:spacing w:after="0"/>
              <w:jc w:val="right"/>
            </w:pPr>
            <w:r>
              <w:rPr>
                <w:rFonts w:ascii="Arial" w:hAnsi="Arial"/>
                <w:b/>
                <w:color w:val="FFFFFF"/>
                <w:sz w:val="19"/>
              </w:rPr>
              <w:t>Amount (AUD)</w:t>
            </w:r>
          </w:p>
        </w:tc>
      </w:tr>
      <w:tr w:rsidR="003530EC" w14:paraId="1861CA6C" w14:textId="77777777">
        <w:trPr>
          <w:jc w:val="center"/>
        </w:trPr>
        <w:tc>
          <w:tcPr>
            <w:tcW w:w="5760" w:type="dxa"/>
            <w:tcBorders>
              <w:bottom w:val="single" w:sz="4" w:space="0" w:color="E2E8F0"/>
            </w:tcBorders>
            <w:shd w:val="clear" w:color="auto" w:fill="F8FAFC"/>
            <w:tcMar>
              <w:top w:w="100" w:type="dxa"/>
              <w:left w:w="120" w:type="dxa"/>
              <w:bottom w:w="100" w:type="dxa"/>
              <w:right w:w="120" w:type="dxa"/>
            </w:tcMar>
          </w:tcPr>
          <w:p w14:paraId="3B3816B0" w14:textId="77777777" w:rsidR="003530EC" w:rsidRDefault="00000000">
            <w:pPr>
              <w:spacing w:after="0"/>
            </w:pPr>
            <w:r>
              <w:t>Gross Annual Income</w:t>
            </w:r>
          </w:p>
        </w:tc>
        <w:tc>
          <w:tcPr>
            <w:tcW w:w="3600" w:type="dxa"/>
            <w:tcBorders>
              <w:bottom w:val="single" w:sz="4" w:space="0" w:color="E2E8F0"/>
            </w:tcBorders>
            <w:shd w:val="clear" w:color="auto" w:fill="F8FAFC"/>
            <w:tcMar>
              <w:top w:w="100" w:type="dxa"/>
              <w:left w:w="120" w:type="dxa"/>
              <w:bottom w:w="100" w:type="dxa"/>
              <w:right w:w="120" w:type="dxa"/>
            </w:tcMar>
          </w:tcPr>
          <w:p w14:paraId="71CB1E99" w14:textId="77777777" w:rsidR="003530EC" w:rsidRDefault="00000000">
            <w:pPr>
              <w:spacing w:after="0"/>
              <w:jc w:val="right"/>
            </w:pPr>
            <w:r>
              <w:t>$160,430.00</w:t>
            </w:r>
          </w:p>
        </w:tc>
      </w:tr>
      <w:tr w:rsidR="003530EC" w14:paraId="1BF33D2F" w14:textId="77777777">
        <w:trPr>
          <w:jc w:val="center"/>
        </w:trPr>
        <w:tc>
          <w:tcPr>
            <w:tcW w:w="5760" w:type="dxa"/>
            <w:tcBorders>
              <w:bottom w:val="single" w:sz="4" w:space="0" w:color="E2E8F0"/>
            </w:tcBorders>
            <w:shd w:val="clear" w:color="auto" w:fill="FFFFFF"/>
            <w:tcMar>
              <w:top w:w="100" w:type="dxa"/>
              <w:left w:w="120" w:type="dxa"/>
              <w:bottom w:w="100" w:type="dxa"/>
              <w:right w:w="120" w:type="dxa"/>
            </w:tcMar>
          </w:tcPr>
          <w:p w14:paraId="7A9F47DB" w14:textId="77777777" w:rsidR="003530EC" w:rsidRDefault="00000000">
            <w:pPr>
              <w:spacing w:after="0"/>
            </w:pPr>
            <w:r>
              <w:t>Less: Total Annual Income Tax &amp; Medicare Levy</w:t>
            </w:r>
          </w:p>
        </w:tc>
        <w:tc>
          <w:tcPr>
            <w:tcW w:w="3600" w:type="dxa"/>
            <w:tcBorders>
              <w:bottom w:val="single" w:sz="4" w:space="0" w:color="E2E8F0"/>
            </w:tcBorders>
            <w:shd w:val="clear" w:color="auto" w:fill="FFFFFF"/>
            <w:tcMar>
              <w:top w:w="100" w:type="dxa"/>
              <w:left w:w="120" w:type="dxa"/>
              <w:bottom w:w="100" w:type="dxa"/>
              <w:right w:w="120" w:type="dxa"/>
            </w:tcMar>
          </w:tcPr>
          <w:p w14:paraId="4B94865B" w14:textId="77777777" w:rsidR="003530EC" w:rsidRDefault="00000000">
            <w:pPr>
              <w:spacing w:after="0"/>
              <w:jc w:val="right"/>
            </w:pPr>
            <w:r>
              <w:t>-$43,905.70</w:t>
            </w:r>
          </w:p>
        </w:tc>
      </w:tr>
      <w:tr w:rsidR="003530EC" w14:paraId="23BF3392" w14:textId="77777777">
        <w:trPr>
          <w:jc w:val="center"/>
        </w:trPr>
        <w:tc>
          <w:tcPr>
            <w:tcW w:w="5760" w:type="dxa"/>
            <w:tcBorders>
              <w:bottom w:val="single" w:sz="4" w:space="0" w:color="E2E8F0"/>
            </w:tcBorders>
            <w:shd w:val="clear" w:color="auto" w:fill="F8FAFC"/>
            <w:tcMar>
              <w:top w:w="100" w:type="dxa"/>
              <w:left w:w="120" w:type="dxa"/>
              <w:bottom w:w="100" w:type="dxa"/>
              <w:right w:w="120" w:type="dxa"/>
            </w:tcMar>
          </w:tcPr>
          <w:p w14:paraId="5D7EEBAB" w14:textId="77777777" w:rsidR="003530EC" w:rsidRDefault="00000000">
            <w:pPr>
              <w:spacing w:after="0"/>
            </w:pPr>
            <w:r>
              <w:rPr>
                <w:b/>
              </w:rPr>
              <w:t>Net Annual Income</w:t>
            </w:r>
          </w:p>
        </w:tc>
        <w:tc>
          <w:tcPr>
            <w:tcW w:w="3600" w:type="dxa"/>
            <w:tcBorders>
              <w:bottom w:val="single" w:sz="4" w:space="0" w:color="E2E8F0"/>
            </w:tcBorders>
            <w:shd w:val="clear" w:color="auto" w:fill="F8FAFC"/>
            <w:tcMar>
              <w:top w:w="100" w:type="dxa"/>
              <w:left w:w="120" w:type="dxa"/>
              <w:bottom w:w="100" w:type="dxa"/>
              <w:right w:w="120" w:type="dxa"/>
            </w:tcMar>
          </w:tcPr>
          <w:p w14:paraId="6923F6C8" w14:textId="77777777" w:rsidR="003530EC" w:rsidRDefault="00000000">
            <w:pPr>
              <w:spacing w:after="0"/>
              <w:jc w:val="right"/>
            </w:pPr>
            <w:r>
              <w:rPr>
                <w:b/>
              </w:rPr>
              <w:t>$116,524.30</w:t>
            </w:r>
          </w:p>
        </w:tc>
      </w:tr>
      <w:tr w:rsidR="003530EC" w14:paraId="5AB23E65" w14:textId="77777777">
        <w:trPr>
          <w:jc w:val="center"/>
        </w:trPr>
        <w:tc>
          <w:tcPr>
            <w:tcW w:w="5760" w:type="dxa"/>
            <w:tcBorders>
              <w:bottom w:val="single" w:sz="4" w:space="0" w:color="E2E8F0"/>
            </w:tcBorders>
            <w:shd w:val="clear" w:color="auto" w:fill="FFFFFF"/>
            <w:tcMar>
              <w:top w:w="100" w:type="dxa"/>
              <w:left w:w="120" w:type="dxa"/>
              <w:bottom w:w="100" w:type="dxa"/>
              <w:right w:w="120" w:type="dxa"/>
            </w:tcMar>
          </w:tcPr>
          <w:p w14:paraId="792A2481" w14:textId="77777777" w:rsidR="003530EC" w:rsidRDefault="00000000">
            <w:pPr>
              <w:spacing w:after="0"/>
            </w:pPr>
            <w:r>
              <w:t>Gross Fortnightly Pay</w:t>
            </w:r>
          </w:p>
        </w:tc>
        <w:tc>
          <w:tcPr>
            <w:tcW w:w="3600" w:type="dxa"/>
            <w:tcBorders>
              <w:bottom w:val="single" w:sz="4" w:space="0" w:color="E2E8F0"/>
            </w:tcBorders>
            <w:shd w:val="clear" w:color="auto" w:fill="FFFFFF"/>
            <w:tcMar>
              <w:top w:w="100" w:type="dxa"/>
              <w:left w:w="120" w:type="dxa"/>
              <w:bottom w:w="100" w:type="dxa"/>
              <w:right w:w="120" w:type="dxa"/>
            </w:tcMar>
          </w:tcPr>
          <w:p w14:paraId="60C7591B" w14:textId="77777777" w:rsidR="003530EC" w:rsidRDefault="00000000">
            <w:pPr>
              <w:spacing w:after="0"/>
              <w:jc w:val="right"/>
            </w:pPr>
            <w:r>
              <w:t>$6,149.27</w:t>
            </w:r>
          </w:p>
        </w:tc>
      </w:tr>
      <w:tr w:rsidR="003530EC" w14:paraId="1D33BAFC" w14:textId="77777777">
        <w:trPr>
          <w:jc w:val="center"/>
        </w:trPr>
        <w:tc>
          <w:tcPr>
            <w:tcW w:w="5760" w:type="dxa"/>
            <w:tcBorders>
              <w:bottom w:val="single" w:sz="4" w:space="0" w:color="E2E8F0"/>
            </w:tcBorders>
            <w:shd w:val="clear" w:color="auto" w:fill="F8FAFC"/>
            <w:tcMar>
              <w:top w:w="100" w:type="dxa"/>
              <w:left w:w="120" w:type="dxa"/>
              <w:bottom w:w="100" w:type="dxa"/>
              <w:right w:w="120" w:type="dxa"/>
            </w:tcMar>
          </w:tcPr>
          <w:p w14:paraId="03107D84" w14:textId="77777777" w:rsidR="003530EC" w:rsidRDefault="00000000">
            <w:pPr>
              <w:spacing w:after="0"/>
            </w:pPr>
            <w:r>
              <w:rPr>
                <w:b/>
              </w:rPr>
              <w:t>Net Fortnightly Take-Home Pay (Actual Pay slip)</w:t>
            </w:r>
          </w:p>
        </w:tc>
        <w:tc>
          <w:tcPr>
            <w:tcW w:w="3600" w:type="dxa"/>
            <w:tcBorders>
              <w:bottom w:val="single" w:sz="4" w:space="0" w:color="E2E8F0"/>
            </w:tcBorders>
            <w:shd w:val="clear" w:color="auto" w:fill="F8FAFC"/>
            <w:tcMar>
              <w:top w:w="100" w:type="dxa"/>
              <w:left w:w="120" w:type="dxa"/>
              <w:bottom w:w="100" w:type="dxa"/>
              <w:right w:w="120" w:type="dxa"/>
            </w:tcMar>
          </w:tcPr>
          <w:p w14:paraId="2AABD5BF" w14:textId="77777777" w:rsidR="003530EC" w:rsidRDefault="00000000">
            <w:pPr>
              <w:spacing w:after="0"/>
              <w:jc w:val="right"/>
            </w:pPr>
            <w:r>
              <w:rPr>
                <w:b/>
              </w:rPr>
              <w:t>$4,466.27</w:t>
            </w:r>
          </w:p>
        </w:tc>
      </w:tr>
    </w:tbl>
    <w:p w14:paraId="649921AC" w14:textId="77777777" w:rsidR="003530EC" w:rsidRDefault="003530EC">
      <w:pPr>
        <w:spacing w:after="240"/>
      </w:pPr>
    </w:p>
    <w:p w14:paraId="61ADB24D" w14:textId="77777777" w:rsidR="003530EC" w:rsidRDefault="00000000">
      <w:pPr>
        <w:keepNext/>
        <w:spacing w:before="360" w:after="120"/>
      </w:pPr>
      <w:r>
        <w:rPr>
          <w:rFonts w:ascii="Arial" w:hAnsi="Arial"/>
          <w:b/>
          <w:color w:val="1F3A60"/>
          <w:sz w:val="32"/>
        </w:rPr>
        <w:t>3. Savings Capacity &amp; 12-Month Projections</w:t>
      </w:r>
    </w:p>
    <w:p w14:paraId="5F9E269D" w14:textId="1B9BF782" w:rsidR="003530EC" w:rsidRDefault="002F757D">
      <w:pPr>
        <w:spacing w:after="120"/>
      </w:pPr>
      <w:r>
        <w:rPr>
          <w:rFonts w:ascii="Arial" w:hAnsi="Arial"/>
          <w:color w:val="333333"/>
          <w:sz w:val="21"/>
        </w:rPr>
        <w:t xml:space="preserve">To </w:t>
      </w:r>
      <w:r w:rsidR="00000000">
        <w:rPr>
          <w:rFonts w:ascii="Arial" w:hAnsi="Arial"/>
          <w:color w:val="333333"/>
          <w:sz w:val="21"/>
        </w:rPr>
        <w:t>map out my savings trajectory over the next 12 months, three spending models have been established based on actual net fortnightly take-home pay ($9,710.36 equivalent monthly):</w:t>
      </w:r>
    </w:p>
    <w:tbl>
      <w:tblPr>
        <w:tblW w:w="0" w:type="auto"/>
        <w:jc w:val="center"/>
        <w:tblLook w:val="04A0" w:firstRow="1" w:lastRow="0" w:firstColumn="1" w:lastColumn="0" w:noHBand="0" w:noVBand="1"/>
      </w:tblPr>
      <w:tblGrid>
        <w:gridCol w:w="3600"/>
        <w:gridCol w:w="1872"/>
        <w:gridCol w:w="1872"/>
        <w:gridCol w:w="2016"/>
      </w:tblGrid>
      <w:tr w:rsidR="003530EC" w14:paraId="446C0099" w14:textId="77777777">
        <w:trPr>
          <w:jc w:val="center"/>
        </w:trPr>
        <w:tc>
          <w:tcPr>
            <w:tcW w:w="3600" w:type="dxa"/>
            <w:shd w:val="clear" w:color="auto" w:fill="1F3A60"/>
            <w:tcMar>
              <w:top w:w="120" w:type="dxa"/>
              <w:left w:w="120" w:type="dxa"/>
              <w:bottom w:w="120" w:type="dxa"/>
              <w:right w:w="120" w:type="dxa"/>
            </w:tcMar>
          </w:tcPr>
          <w:p w14:paraId="513C2B6D" w14:textId="77777777" w:rsidR="003530EC" w:rsidRDefault="00000000">
            <w:pPr>
              <w:spacing w:after="0"/>
            </w:pPr>
            <w:r>
              <w:rPr>
                <w:rFonts w:ascii="Arial" w:hAnsi="Arial"/>
                <w:b/>
                <w:color w:val="FFFFFF"/>
                <w:sz w:val="19"/>
              </w:rPr>
              <w:t>Scenario</w:t>
            </w:r>
          </w:p>
        </w:tc>
        <w:tc>
          <w:tcPr>
            <w:tcW w:w="1872" w:type="dxa"/>
            <w:shd w:val="clear" w:color="auto" w:fill="1F3A60"/>
            <w:tcMar>
              <w:top w:w="120" w:type="dxa"/>
              <w:left w:w="120" w:type="dxa"/>
              <w:bottom w:w="120" w:type="dxa"/>
              <w:right w:w="120" w:type="dxa"/>
            </w:tcMar>
          </w:tcPr>
          <w:p w14:paraId="0C5ADF00" w14:textId="77777777" w:rsidR="003530EC" w:rsidRDefault="00000000">
            <w:pPr>
              <w:spacing w:after="0"/>
              <w:jc w:val="right"/>
            </w:pPr>
            <w:r>
              <w:rPr>
                <w:rFonts w:ascii="Arial" w:hAnsi="Arial"/>
                <w:b/>
                <w:color w:val="FFFFFF"/>
                <w:sz w:val="19"/>
              </w:rPr>
              <w:t>Est. Monthly Spend</w:t>
            </w:r>
          </w:p>
        </w:tc>
        <w:tc>
          <w:tcPr>
            <w:tcW w:w="1872" w:type="dxa"/>
            <w:shd w:val="clear" w:color="auto" w:fill="1F3A60"/>
            <w:tcMar>
              <w:top w:w="120" w:type="dxa"/>
              <w:left w:w="120" w:type="dxa"/>
              <w:bottom w:w="120" w:type="dxa"/>
              <w:right w:w="120" w:type="dxa"/>
            </w:tcMar>
          </w:tcPr>
          <w:p w14:paraId="1529B3C8" w14:textId="77777777" w:rsidR="003530EC" w:rsidRDefault="00000000">
            <w:pPr>
              <w:spacing w:after="0"/>
              <w:jc w:val="right"/>
            </w:pPr>
            <w:r>
              <w:rPr>
                <w:rFonts w:ascii="Arial" w:hAnsi="Arial"/>
                <w:b/>
                <w:color w:val="FFFFFF"/>
                <w:sz w:val="19"/>
              </w:rPr>
              <w:t>Monthly Savings</w:t>
            </w:r>
          </w:p>
        </w:tc>
        <w:tc>
          <w:tcPr>
            <w:tcW w:w="2016" w:type="dxa"/>
            <w:shd w:val="clear" w:color="auto" w:fill="1F3A60"/>
            <w:tcMar>
              <w:top w:w="120" w:type="dxa"/>
              <w:left w:w="120" w:type="dxa"/>
              <w:bottom w:w="120" w:type="dxa"/>
              <w:right w:w="120" w:type="dxa"/>
            </w:tcMar>
          </w:tcPr>
          <w:p w14:paraId="7BE2BCA5" w14:textId="77777777" w:rsidR="003530EC" w:rsidRDefault="00000000">
            <w:pPr>
              <w:spacing w:after="0"/>
              <w:jc w:val="right"/>
            </w:pPr>
            <w:r>
              <w:rPr>
                <w:rFonts w:ascii="Arial" w:hAnsi="Arial"/>
                <w:b/>
                <w:color w:val="FFFFFF"/>
                <w:sz w:val="19"/>
              </w:rPr>
              <w:t>12-Month Accum.</w:t>
            </w:r>
          </w:p>
        </w:tc>
      </w:tr>
      <w:tr w:rsidR="003530EC" w14:paraId="3518518D"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7E5FD4C1" w14:textId="77777777" w:rsidR="003530EC" w:rsidRDefault="00000000">
            <w:pPr>
              <w:spacing w:after="0"/>
            </w:pPr>
            <w:r>
              <w:t>Optimistic (High Discipline)</w:t>
            </w:r>
          </w:p>
        </w:tc>
        <w:tc>
          <w:tcPr>
            <w:tcW w:w="1872" w:type="dxa"/>
            <w:tcBorders>
              <w:bottom w:val="single" w:sz="4" w:space="0" w:color="E2E8F0"/>
            </w:tcBorders>
            <w:shd w:val="clear" w:color="auto" w:fill="F8FAFC"/>
            <w:tcMar>
              <w:top w:w="100" w:type="dxa"/>
              <w:left w:w="120" w:type="dxa"/>
              <w:bottom w:w="100" w:type="dxa"/>
              <w:right w:w="120" w:type="dxa"/>
            </w:tcMar>
          </w:tcPr>
          <w:p w14:paraId="3D71F4E3" w14:textId="77777777" w:rsidR="003530EC" w:rsidRDefault="00000000">
            <w:pPr>
              <w:spacing w:after="0"/>
              <w:jc w:val="right"/>
            </w:pPr>
            <w:r>
              <w:t>$1,200.00</w:t>
            </w:r>
          </w:p>
        </w:tc>
        <w:tc>
          <w:tcPr>
            <w:tcW w:w="1872" w:type="dxa"/>
            <w:tcBorders>
              <w:bottom w:val="single" w:sz="4" w:space="0" w:color="E2E8F0"/>
            </w:tcBorders>
            <w:shd w:val="clear" w:color="auto" w:fill="F8FAFC"/>
            <w:tcMar>
              <w:top w:w="100" w:type="dxa"/>
              <w:left w:w="120" w:type="dxa"/>
              <w:bottom w:w="100" w:type="dxa"/>
              <w:right w:w="120" w:type="dxa"/>
            </w:tcMar>
          </w:tcPr>
          <w:p w14:paraId="57CC7D35" w14:textId="77777777" w:rsidR="003530EC" w:rsidRDefault="00000000">
            <w:pPr>
              <w:spacing w:after="0"/>
              <w:jc w:val="right"/>
            </w:pPr>
            <w:r>
              <w:t>$8,510.36</w:t>
            </w:r>
          </w:p>
        </w:tc>
        <w:tc>
          <w:tcPr>
            <w:tcW w:w="2016" w:type="dxa"/>
            <w:tcBorders>
              <w:bottom w:val="single" w:sz="4" w:space="0" w:color="E2E8F0"/>
            </w:tcBorders>
            <w:shd w:val="clear" w:color="auto" w:fill="F8FAFC"/>
            <w:tcMar>
              <w:top w:w="100" w:type="dxa"/>
              <w:left w:w="120" w:type="dxa"/>
              <w:bottom w:w="100" w:type="dxa"/>
              <w:right w:w="120" w:type="dxa"/>
            </w:tcMar>
          </w:tcPr>
          <w:p w14:paraId="5AEC44CD" w14:textId="77777777" w:rsidR="003530EC" w:rsidRDefault="00000000">
            <w:pPr>
              <w:spacing w:after="0"/>
              <w:jc w:val="right"/>
            </w:pPr>
            <w:r>
              <w:t>$102,124.32</w:t>
            </w:r>
          </w:p>
        </w:tc>
      </w:tr>
      <w:tr w:rsidR="003530EC" w14:paraId="607C3D25"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00FD6957" w14:textId="6419124D" w:rsidR="003530EC" w:rsidRDefault="00000000">
            <w:pPr>
              <w:spacing w:after="0"/>
            </w:pPr>
            <w:r>
              <w:t xml:space="preserve">Base Scenario </w:t>
            </w:r>
          </w:p>
        </w:tc>
        <w:tc>
          <w:tcPr>
            <w:tcW w:w="1872" w:type="dxa"/>
            <w:tcBorders>
              <w:bottom w:val="single" w:sz="4" w:space="0" w:color="E2E8F0"/>
            </w:tcBorders>
            <w:shd w:val="clear" w:color="auto" w:fill="FFFFFF"/>
            <w:tcMar>
              <w:top w:w="100" w:type="dxa"/>
              <w:left w:w="120" w:type="dxa"/>
              <w:bottom w:w="100" w:type="dxa"/>
              <w:right w:w="120" w:type="dxa"/>
            </w:tcMar>
          </w:tcPr>
          <w:p w14:paraId="14BEDD4A" w14:textId="77777777" w:rsidR="003530EC" w:rsidRDefault="00000000">
            <w:pPr>
              <w:spacing w:after="0"/>
              <w:jc w:val="right"/>
            </w:pPr>
            <w:r>
              <w:t>$1,800.00</w:t>
            </w:r>
          </w:p>
        </w:tc>
        <w:tc>
          <w:tcPr>
            <w:tcW w:w="1872" w:type="dxa"/>
            <w:tcBorders>
              <w:bottom w:val="single" w:sz="4" w:space="0" w:color="E2E8F0"/>
            </w:tcBorders>
            <w:shd w:val="clear" w:color="auto" w:fill="FFFFFF"/>
            <w:tcMar>
              <w:top w:w="100" w:type="dxa"/>
              <w:left w:w="120" w:type="dxa"/>
              <w:bottom w:w="100" w:type="dxa"/>
              <w:right w:w="120" w:type="dxa"/>
            </w:tcMar>
          </w:tcPr>
          <w:p w14:paraId="793C1993" w14:textId="77777777" w:rsidR="003530EC" w:rsidRDefault="00000000">
            <w:pPr>
              <w:spacing w:after="0"/>
              <w:jc w:val="right"/>
            </w:pPr>
            <w:r>
              <w:t>$7,910.36</w:t>
            </w:r>
          </w:p>
        </w:tc>
        <w:tc>
          <w:tcPr>
            <w:tcW w:w="2016" w:type="dxa"/>
            <w:tcBorders>
              <w:bottom w:val="single" w:sz="4" w:space="0" w:color="E2E8F0"/>
            </w:tcBorders>
            <w:shd w:val="clear" w:color="auto" w:fill="FFFFFF"/>
            <w:tcMar>
              <w:top w:w="100" w:type="dxa"/>
              <w:left w:w="120" w:type="dxa"/>
              <w:bottom w:w="100" w:type="dxa"/>
              <w:right w:w="120" w:type="dxa"/>
            </w:tcMar>
          </w:tcPr>
          <w:p w14:paraId="11AE22DD" w14:textId="77777777" w:rsidR="003530EC" w:rsidRDefault="00000000">
            <w:pPr>
              <w:spacing w:after="0"/>
              <w:jc w:val="right"/>
            </w:pPr>
            <w:r>
              <w:t>$94,924.32</w:t>
            </w:r>
          </w:p>
        </w:tc>
      </w:tr>
      <w:tr w:rsidR="003530EC" w14:paraId="3EAA4EE7"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19428B83" w14:textId="76755680" w:rsidR="003530EC" w:rsidRDefault="00000000">
            <w:pPr>
              <w:spacing w:after="0"/>
            </w:pPr>
            <w:r>
              <w:t xml:space="preserve">Pessimistic </w:t>
            </w:r>
          </w:p>
        </w:tc>
        <w:tc>
          <w:tcPr>
            <w:tcW w:w="1872" w:type="dxa"/>
            <w:tcBorders>
              <w:bottom w:val="single" w:sz="4" w:space="0" w:color="E2E8F0"/>
            </w:tcBorders>
            <w:shd w:val="clear" w:color="auto" w:fill="F8FAFC"/>
            <w:tcMar>
              <w:top w:w="100" w:type="dxa"/>
              <w:left w:w="120" w:type="dxa"/>
              <w:bottom w:w="100" w:type="dxa"/>
              <w:right w:w="120" w:type="dxa"/>
            </w:tcMar>
          </w:tcPr>
          <w:p w14:paraId="28EED69D" w14:textId="77777777" w:rsidR="003530EC" w:rsidRDefault="00000000">
            <w:pPr>
              <w:spacing w:after="0"/>
              <w:jc w:val="right"/>
            </w:pPr>
            <w:r>
              <w:t>$3,000.00</w:t>
            </w:r>
          </w:p>
        </w:tc>
        <w:tc>
          <w:tcPr>
            <w:tcW w:w="1872" w:type="dxa"/>
            <w:tcBorders>
              <w:bottom w:val="single" w:sz="4" w:space="0" w:color="E2E8F0"/>
            </w:tcBorders>
            <w:shd w:val="clear" w:color="auto" w:fill="F8FAFC"/>
            <w:tcMar>
              <w:top w:w="100" w:type="dxa"/>
              <w:left w:w="120" w:type="dxa"/>
              <w:bottom w:w="100" w:type="dxa"/>
              <w:right w:w="120" w:type="dxa"/>
            </w:tcMar>
          </w:tcPr>
          <w:p w14:paraId="6DAC1D73" w14:textId="77777777" w:rsidR="003530EC" w:rsidRDefault="00000000">
            <w:pPr>
              <w:spacing w:after="0"/>
              <w:jc w:val="right"/>
            </w:pPr>
            <w:r>
              <w:t>$6,710.36</w:t>
            </w:r>
          </w:p>
        </w:tc>
        <w:tc>
          <w:tcPr>
            <w:tcW w:w="2016" w:type="dxa"/>
            <w:tcBorders>
              <w:bottom w:val="single" w:sz="4" w:space="0" w:color="E2E8F0"/>
            </w:tcBorders>
            <w:shd w:val="clear" w:color="auto" w:fill="F8FAFC"/>
            <w:tcMar>
              <w:top w:w="100" w:type="dxa"/>
              <w:left w:w="120" w:type="dxa"/>
              <w:bottom w:w="100" w:type="dxa"/>
              <w:right w:w="120" w:type="dxa"/>
            </w:tcMar>
          </w:tcPr>
          <w:p w14:paraId="7EF2AB80" w14:textId="77777777" w:rsidR="003530EC" w:rsidRDefault="00000000">
            <w:pPr>
              <w:spacing w:after="0"/>
              <w:jc w:val="right"/>
            </w:pPr>
            <w:r>
              <w:t>$80,524.32</w:t>
            </w:r>
          </w:p>
        </w:tc>
      </w:tr>
    </w:tbl>
    <w:p w14:paraId="26A1C212" w14:textId="77777777" w:rsidR="003530EC" w:rsidRDefault="003530EC">
      <w:pPr>
        <w:spacing w:after="240"/>
      </w:pPr>
    </w:p>
    <w:p w14:paraId="269EF153" w14:textId="77777777" w:rsidR="003530EC" w:rsidRDefault="00000000">
      <w:pPr>
        <w:keepNext/>
        <w:spacing w:before="240" w:after="80"/>
      </w:pPr>
      <w:r>
        <w:rPr>
          <w:rFonts w:ascii="Arial" w:hAnsi="Arial"/>
          <w:b/>
          <w:color w:val="0F766E"/>
          <w:sz w:val="24"/>
        </w:rPr>
        <w:lastRenderedPageBreak/>
        <w:t>Pre-Purchase Savings Projection Model</w:t>
      </w:r>
    </w:p>
    <w:p w14:paraId="3A9CCD40" w14:textId="77777777" w:rsidR="003530EC" w:rsidRDefault="00000000">
      <w:pPr>
        <w:spacing w:after="120"/>
      </w:pPr>
      <w:r>
        <w:rPr>
          <w:rFonts w:ascii="Arial" w:hAnsi="Arial"/>
          <w:color w:val="333333"/>
          <w:sz w:val="21"/>
        </w:rPr>
        <w:t>The 12-month savings trajectories are calculated using a linear accumulation model based on my current starting cash reserves and monthly savings rates:</w:t>
      </w:r>
    </w:p>
    <w:tbl>
      <w:tblPr>
        <w:tblW w:w="0" w:type="auto"/>
        <w:jc w:val="center"/>
        <w:tblLayout w:type="fixed"/>
        <w:tblLook w:val="04A0" w:firstRow="1" w:lastRow="0" w:firstColumn="1" w:lastColumn="0" w:noHBand="0" w:noVBand="1"/>
      </w:tblPr>
      <w:tblGrid>
        <w:gridCol w:w="9360"/>
      </w:tblGrid>
      <w:tr w:rsidR="003530EC" w14:paraId="03731A85" w14:textId="77777777">
        <w:trPr>
          <w:jc w:val="center"/>
        </w:trPr>
        <w:tc>
          <w:tcPr>
            <w:tcW w:w="9360" w:type="dxa"/>
            <w:tcBorders>
              <w:left w:val="single" w:sz="36" w:space="0" w:color="0F766E"/>
            </w:tcBorders>
            <w:shd w:val="clear" w:color="auto" w:fill="F1F5F9"/>
            <w:tcMar>
              <w:top w:w="140" w:type="dxa"/>
              <w:left w:w="200" w:type="dxa"/>
              <w:bottom w:w="140" w:type="dxa"/>
              <w:right w:w="140" w:type="dxa"/>
            </w:tcMar>
          </w:tcPr>
          <w:p w14:paraId="2C7AF0C2" w14:textId="77777777" w:rsidR="003530EC" w:rsidRDefault="00000000">
            <w:pPr>
              <w:spacing w:after="0"/>
            </w:pPr>
            <w:r>
              <w:rPr>
                <w:rFonts w:ascii="Arial" w:hAnsi="Arial"/>
                <w:b/>
                <w:color w:val="0F766E"/>
                <w:sz w:val="21"/>
              </w:rPr>
              <w:t>Mathematical Projection Formula</w:t>
            </w:r>
            <w:r>
              <w:rPr>
                <w:rFonts w:ascii="Arial" w:hAnsi="Arial"/>
                <w:b/>
                <w:color w:val="0F766E"/>
                <w:sz w:val="21"/>
              </w:rPr>
              <w:br/>
            </w:r>
            <w:r>
              <w:rPr>
                <w:rFonts w:ascii="Arial" w:hAnsi="Arial"/>
                <w:i/>
                <w:color w:val="475569"/>
                <w:sz w:val="20"/>
              </w:rPr>
              <w:t>Cash(n) = Cash(start) + [n * (Net Monthly Income - Monthly Spend)]</w:t>
            </w:r>
            <w:r>
              <w:rPr>
                <w:rFonts w:ascii="Arial" w:hAnsi="Arial"/>
                <w:i/>
                <w:color w:val="475569"/>
                <w:sz w:val="20"/>
              </w:rPr>
              <w:br/>
            </w:r>
            <w:r>
              <w:rPr>
                <w:rFonts w:ascii="Arial" w:hAnsi="Arial"/>
                <w:i/>
                <w:color w:val="475569"/>
                <w:sz w:val="20"/>
              </w:rPr>
              <w:br/>
              <w:t>Where:</w:t>
            </w:r>
            <w:r>
              <w:rPr>
                <w:rFonts w:ascii="Arial" w:hAnsi="Arial"/>
                <w:i/>
                <w:color w:val="475569"/>
                <w:sz w:val="20"/>
              </w:rPr>
              <w:br/>
              <w:t>• Cash(n) is the projected cash balance at Month n.</w:t>
            </w:r>
            <w:r>
              <w:rPr>
                <w:rFonts w:ascii="Arial" w:hAnsi="Arial"/>
                <w:i/>
                <w:color w:val="475569"/>
                <w:sz w:val="20"/>
              </w:rPr>
              <w:br/>
              <w:t>• Cash(start) = $132,115 (current cash reserves as of August 2026).</w:t>
            </w:r>
            <w:r>
              <w:rPr>
                <w:rFonts w:ascii="Arial" w:hAnsi="Arial"/>
                <w:i/>
                <w:color w:val="475569"/>
                <w:sz w:val="20"/>
              </w:rPr>
              <w:br/>
              <w:t>• Net Monthly Income = $9,710.36 (derived from my $160,430 gross salary minus $43,905.70 in annual tax and Medicare Levy).</w:t>
            </w:r>
            <w:r>
              <w:rPr>
                <w:rFonts w:ascii="Arial" w:hAnsi="Arial"/>
                <w:i/>
                <w:color w:val="475569"/>
                <w:sz w:val="20"/>
              </w:rPr>
              <w:br/>
              <w:t>• Monthly Spend is set based on the scenario: $1,200 (Optimistic), $1,800 (Base), or $3,000 (Pessimistic).</w:t>
            </w:r>
          </w:p>
        </w:tc>
      </w:tr>
    </w:tbl>
    <w:p w14:paraId="71CD2433" w14:textId="77777777" w:rsidR="003530EC" w:rsidRDefault="003530EC">
      <w:pPr>
        <w:spacing w:after="120"/>
      </w:pPr>
    </w:p>
    <w:p w14:paraId="65F2A818" w14:textId="5ADC00C7" w:rsidR="003530EC" w:rsidRDefault="00000000">
      <w:pPr>
        <w:spacing w:after="240"/>
        <w:jc w:val="center"/>
      </w:pPr>
      <w:r>
        <w:rPr>
          <w:noProof/>
        </w:rPr>
        <w:drawing>
          <wp:inline distT="0" distB="0" distL="0" distR="0" wp14:anchorId="5FB56ED6" wp14:editId="4E69F07E">
            <wp:extent cx="5029200" cy="31193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ings_projection.png"/>
                    <pic:cNvPicPr/>
                  </pic:nvPicPr>
                  <pic:blipFill>
                    <a:blip r:embed="rId10"/>
                    <a:stretch>
                      <a:fillRect/>
                    </a:stretch>
                  </pic:blipFill>
                  <pic:spPr>
                    <a:xfrm>
                      <a:off x="0" y="0"/>
                      <a:ext cx="5029200" cy="3119377"/>
                    </a:xfrm>
                    <a:prstGeom prst="rect">
                      <a:avLst/>
                    </a:prstGeom>
                  </pic:spPr>
                </pic:pic>
              </a:graphicData>
            </a:graphic>
          </wp:inline>
        </w:drawing>
      </w:r>
      <w:r>
        <w:rPr>
          <w:rFonts w:ascii="Arial" w:hAnsi="Arial"/>
          <w:i/>
          <w:color w:val="64748B"/>
          <w:sz w:val="18"/>
        </w:rPr>
        <w:br/>
        <w:t>Figure 3: Projected cash balance over 12 months, showcasing 10%</w:t>
      </w:r>
      <w:r w:rsidR="002F757D">
        <w:rPr>
          <w:rFonts w:ascii="Arial" w:hAnsi="Arial"/>
          <w:i/>
          <w:color w:val="64748B"/>
          <w:sz w:val="18"/>
        </w:rPr>
        <w:t xml:space="preserve">,15% </w:t>
      </w:r>
      <w:r>
        <w:rPr>
          <w:rFonts w:ascii="Arial" w:hAnsi="Arial"/>
          <w:i/>
          <w:color w:val="64748B"/>
          <w:sz w:val="18"/>
        </w:rPr>
        <w:t>and 20% deposit readiness.</w:t>
      </w:r>
    </w:p>
    <w:p w14:paraId="29278C64" w14:textId="77777777" w:rsidR="003530EC" w:rsidRDefault="00000000">
      <w:pPr>
        <w:keepNext/>
        <w:spacing w:before="360" w:after="120"/>
      </w:pPr>
      <w:r>
        <w:rPr>
          <w:rFonts w:ascii="Arial" w:hAnsi="Arial"/>
          <w:b/>
          <w:color w:val="1F3A60"/>
          <w:sz w:val="32"/>
        </w:rPr>
        <w:t>4. Risk Management: The $50,000 Safety Net</w:t>
      </w:r>
    </w:p>
    <w:p w14:paraId="6D41B2D7" w14:textId="6D0128F5" w:rsidR="003530EC" w:rsidRDefault="002F757D">
      <w:pPr>
        <w:spacing w:after="120"/>
      </w:pPr>
      <w:r>
        <w:rPr>
          <w:rFonts w:ascii="Arial" w:hAnsi="Arial"/>
          <w:color w:val="333333"/>
          <w:sz w:val="21"/>
        </w:rPr>
        <w:t xml:space="preserve">The strategy is </w:t>
      </w:r>
      <w:proofErr w:type="gramStart"/>
      <w:r>
        <w:rPr>
          <w:rFonts w:ascii="Arial" w:hAnsi="Arial"/>
          <w:color w:val="333333"/>
          <w:sz w:val="21"/>
        </w:rPr>
        <w:t xml:space="preserve">a </w:t>
      </w:r>
      <w:r w:rsidR="00000000">
        <w:rPr>
          <w:rFonts w:ascii="Arial" w:hAnsi="Arial"/>
          <w:color w:val="333333"/>
          <w:sz w:val="21"/>
        </w:rPr>
        <w:t xml:space="preserve"> liquid</w:t>
      </w:r>
      <w:proofErr w:type="gramEnd"/>
      <w:r w:rsidR="00000000">
        <w:rPr>
          <w:rFonts w:ascii="Arial" w:hAnsi="Arial"/>
          <w:color w:val="333333"/>
          <w:sz w:val="21"/>
        </w:rPr>
        <w:t xml:space="preserve"> cash buffer of $50,000 post-purchase. This safety net will not be used for the property deposit or transaction costs. Its sole purposes are:</w:t>
      </w:r>
    </w:p>
    <w:p w14:paraId="0C76CC22" w14:textId="77777777" w:rsidR="003530EC" w:rsidRDefault="00000000">
      <w:pPr>
        <w:pStyle w:val="ListBullet"/>
        <w:spacing w:after="60"/>
      </w:pPr>
      <w:r>
        <w:rPr>
          <w:rFonts w:ascii="Arial" w:hAnsi="Arial"/>
          <w:b/>
          <w:color w:val="333333"/>
          <w:sz w:val="21"/>
        </w:rPr>
        <w:t xml:space="preserve">Mortgage Protection: </w:t>
      </w:r>
      <w:r>
        <w:rPr>
          <w:rFonts w:ascii="Arial" w:hAnsi="Arial"/>
          <w:color w:val="333333"/>
          <w:sz w:val="21"/>
        </w:rPr>
        <w:t>In the event of temporary income disruption, $50,000 represents approximately 14 months of mortgage interest payments under a base 6.00% p.a. interest rate, or 11 months of full principal &amp; interest repayments under an 8.00% p.a. stress-tested rate.</w:t>
      </w:r>
    </w:p>
    <w:p w14:paraId="4481E8BA" w14:textId="77777777" w:rsidR="003530EC" w:rsidRDefault="00000000">
      <w:pPr>
        <w:pStyle w:val="ListBullet"/>
        <w:spacing w:after="60"/>
      </w:pPr>
      <w:r>
        <w:rPr>
          <w:rFonts w:ascii="Arial" w:hAnsi="Arial"/>
          <w:b/>
          <w:color w:val="333333"/>
          <w:sz w:val="21"/>
        </w:rPr>
        <w:t xml:space="preserve">Emergency Buffer: </w:t>
      </w:r>
      <w:r>
        <w:rPr>
          <w:rFonts w:ascii="Arial" w:hAnsi="Arial"/>
          <w:color w:val="333333"/>
          <w:sz w:val="21"/>
        </w:rPr>
        <w:t>Covers unexpected medical expenses, vehicle maintenance, or urgent property strata repairs without requiring credit cards or emergency liquidations.</w:t>
      </w:r>
    </w:p>
    <w:p w14:paraId="46CA0023" w14:textId="23B93D48" w:rsidR="003530EC" w:rsidRDefault="00000000">
      <w:pPr>
        <w:pStyle w:val="ListBullet"/>
        <w:spacing w:after="240"/>
      </w:pPr>
      <w:r>
        <w:rPr>
          <w:rFonts w:ascii="Arial" w:hAnsi="Arial"/>
          <w:b/>
          <w:color w:val="333333"/>
          <w:sz w:val="21"/>
        </w:rPr>
        <w:lastRenderedPageBreak/>
        <w:t xml:space="preserve">Holding Cost Insurance: </w:t>
      </w:r>
      <w:r>
        <w:rPr>
          <w:rFonts w:ascii="Arial" w:hAnsi="Arial"/>
          <w:color w:val="333333"/>
          <w:sz w:val="21"/>
        </w:rPr>
        <w:t>Strata levies, council rates, water, and insurance are estimated at $600 to $700 per month. These will be absorbed via my regular net salary surplus, keeping the $50,000 buffer completely intact.</w:t>
      </w:r>
    </w:p>
    <w:p w14:paraId="4E740D04" w14:textId="77777777" w:rsidR="003530EC" w:rsidRDefault="00000000">
      <w:pPr>
        <w:keepNext/>
        <w:spacing w:before="360" w:after="120"/>
      </w:pPr>
      <w:r>
        <w:rPr>
          <w:rFonts w:ascii="Arial" w:hAnsi="Arial"/>
          <w:b/>
          <w:color w:val="1F3A60"/>
          <w:sz w:val="32"/>
        </w:rPr>
        <w:t>5. Property Acquisition Pathways (Target: $750,000)</w:t>
      </w:r>
    </w:p>
    <w:p w14:paraId="5524252C" w14:textId="142FEF9A" w:rsidR="003530EC" w:rsidRDefault="002F757D">
      <w:pPr>
        <w:spacing w:after="120"/>
      </w:pPr>
      <w:r>
        <w:rPr>
          <w:rFonts w:ascii="Arial" w:hAnsi="Arial"/>
          <w:color w:val="333333"/>
          <w:sz w:val="21"/>
        </w:rPr>
        <w:t xml:space="preserve">Target </w:t>
      </w:r>
      <w:r w:rsidR="00000000">
        <w:rPr>
          <w:rFonts w:ascii="Arial" w:hAnsi="Arial"/>
          <w:color w:val="333333"/>
          <w:sz w:val="21"/>
        </w:rPr>
        <w:t>is a</w:t>
      </w:r>
      <w:r>
        <w:rPr>
          <w:rFonts w:ascii="Arial" w:hAnsi="Arial"/>
          <w:color w:val="333333"/>
          <w:sz w:val="21"/>
        </w:rPr>
        <w:t xml:space="preserve"> </w:t>
      </w:r>
      <w:r w:rsidR="00000000">
        <w:rPr>
          <w:rFonts w:ascii="Arial" w:hAnsi="Arial"/>
          <w:color w:val="333333"/>
          <w:sz w:val="21"/>
        </w:rPr>
        <w:t xml:space="preserve">1-bedroom + 1-study apartment in the Castle Hill Showgrounds precinct </w:t>
      </w:r>
      <w:r>
        <w:rPr>
          <w:rFonts w:ascii="Arial" w:hAnsi="Arial"/>
          <w:color w:val="333333"/>
          <w:sz w:val="21"/>
        </w:rPr>
        <w:t>or similar profile</w:t>
      </w:r>
      <w:r w:rsidR="00000000">
        <w:rPr>
          <w:rFonts w:ascii="Arial" w:hAnsi="Arial"/>
          <w:color w:val="333333"/>
          <w:sz w:val="21"/>
        </w:rPr>
        <w:t>. Based on current</w:t>
      </w:r>
      <w:r>
        <w:rPr>
          <w:rFonts w:ascii="Arial" w:hAnsi="Arial"/>
          <w:color w:val="333333"/>
          <w:sz w:val="21"/>
        </w:rPr>
        <w:t xml:space="preserve"> market,</w:t>
      </w:r>
      <w:r w:rsidR="00000000">
        <w:rPr>
          <w:rFonts w:ascii="Arial" w:hAnsi="Arial"/>
          <w:color w:val="333333"/>
          <w:sz w:val="21"/>
        </w:rPr>
        <w:t xml:space="preserve"> </w:t>
      </w:r>
      <w:r>
        <w:rPr>
          <w:rFonts w:ascii="Arial" w:hAnsi="Arial"/>
          <w:color w:val="333333"/>
          <w:sz w:val="21"/>
        </w:rPr>
        <w:t xml:space="preserve">residential </w:t>
      </w:r>
      <w:r w:rsidR="00000000">
        <w:rPr>
          <w:rFonts w:ascii="Arial" w:hAnsi="Arial"/>
          <w:color w:val="333333"/>
          <w:sz w:val="21"/>
        </w:rPr>
        <w:t>developments in this precinct (such as Carrington Place, Grand Reve, or Castle Grange) offer premium 1 + Study configurations between $680,000 and $780,000. A baseline purchase price of $750,000 has been set for modeling. Under this baseline, three structured pathways have been mapped out:</w:t>
      </w:r>
    </w:p>
    <w:tbl>
      <w:tblPr>
        <w:tblW w:w="0" w:type="auto"/>
        <w:jc w:val="center"/>
        <w:tblLook w:val="04A0" w:firstRow="1" w:lastRow="0" w:firstColumn="1" w:lastColumn="0" w:noHBand="0" w:noVBand="1"/>
      </w:tblPr>
      <w:tblGrid>
        <w:gridCol w:w="2592"/>
        <w:gridCol w:w="2160"/>
        <w:gridCol w:w="2304"/>
        <w:gridCol w:w="2304"/>
      </w:tblGrid>
      <w:tr w:rsidR="003530EC" w14:paraId="086A1633" w14:textId="77777777">
        <w:trPr>
          <w:jc w:val="center"/>
        </w:trPr>
        <w:tc>
          <w:tcPr>
            <w:tcW w:w="2592" w:type="dxa"/>
            <w:shd w:val="clear" w:color="auto" w:fill="1F3A60"/>
            <w:tcMar>
              <w:top w:w="120" w:type="dxa"/>
              <w:left w:w="120" w:type="dxa"/>
              <w:bottom w:w="120" w:type="dxa"/>
              <w:right w:w="120" w:type="dxa"/>
            </w:tcMar>
          </w:tcPr>
          <w:p w14:paraId="66B2F734" w14:textId="77777777" w:rsidR="003530EC" w:rsidRDefault="00000000">
            <w:pPr>
              <w:spacing w:after="0"/>
            </w:pPr>
            <w:r>
              <w:rPr>
                <w:rFonts w:ascii="Arial" w:hAnsi="Arial"/>
                <w:b/>
                <w:color w:val="FFFFFF"/>
                <w:sz w:val="19"/>
              </w:rPr>
              <w:t>Financial Metric</w:t>
            </w:r>
          </w:p>
        </w:tc>
        <w:tc>
          <w:tcPr>
            <w:tcW w:w="2160" w:type="dxa"/>
            <w:shd w:val="clear" w:color="auto" w:fill="1F3A60"/>
            <w:tcMar>
              <w:top w:w="120" w:type="dxa"/>
              <w:left w:w="120" w:type="dxa"/>
              <w:bottom w:w="120" w:type="dxa"/>
              <w:right w:w="120" w:type="dxa"/>
            </w:tcMar>
          </w:tcPr>
          <w:p w14:paraId="7AC26725" w14:textId="77777777" w:rsidR="003530EC" w:rsidRDefault="00000000">
            <w:pPr>
              <w:spacing w:after="0"/>
              <w:jc w:val="right"/>
            </w:pPr>
            <w:r>
              <w:rPr>
                <w:rFonts w:ascii="Arial" w:hAnsi="Arial"/>
                <w:b/>
                <w:color w:val="FFFFFF"/>
                <w:sz w:val="19"/>
              </w:rPr>
              <w:t>Option A:</w:t>
            </w:r>
            <w:r>
              <w:rPr>
                <w:rFonts w:ascii="Arial" w:hAnsi="Arial"/>
                <w:b/>
                <w:color w:val="FFFFFF"/>
                <w:sz w:val="19"/>
              </w:rPr>
              <w:br/>
              <w:t>Buy Established Now</w:t>
            </w:r>
          </w:p>
        </w:tc>
        <w:tc>
          <w:tcPr>
            <w:tcW w:w="2304" w:type="dxa"/>
            <w:shd w:val="clear" w:color="auto" w:fill="1F3A60"/>
            <w:tcMar>
              <w:top w:w="120" w:type="dxa"/>
              <w:left w:w="120" w:type="dxa"/>
              <w:bottom w:w="120" w:type="dxa"/>
              <w:right w:w="120" w:type="dxa"/>
            </w:tcMar>
          </w:tcPr>
          <w:p w14:paraId="0EFBEDCE" w14:textId="77777777" w:rsidR="003530EC" w:rsidRDefault="00000000">
            <w:pPr>
              <w:spacing w:after="0"/>
              <w:jc w:val="right"/>
            </w:pPr>
            <w:r>
              <w:rPr>
                <w:rFonts w:ascii="Arial" w:hAnsi="Arial"/>
                <w:b/>
                <w:color w:val="FFFFFF"/>
                <w:sz w:val="19"/>
              </w:rPr>
              <w:t>Option B:</w:t>
            </w:r>
            <w:r>
              <w:rPr>
                <w:rFonts w:ascii="Arial" w:hAnsi="Arial"/>
                <w:b/>
                <w:color w:val="FFFFFF"/>
                <w:sz w:val="19"/>
              </w:rPr>
              <w:br/>
              <w:t>Off-The-Plan Now</w:t>
            </w:r>
          </w:p>
        </w:tc>
        <w:tc>
          <w:tcPr>
            <w:tcW w:w="2304" w:type="dxa"/>
            <w:shd w:val="clear" w:color="auto" w:fill="1F3A60"/>
            <w:tcMar>
              <w:top w:w="120" w:type="dxa"/>
              <w:left w:w="120" w:type="dxa"/>
              <w:bottom w:w="120" w:type="dxa"/>
              <w:right w:w="120" w:type="dxa"/>
            </w:tcMar>
          </w:tcPr>
          <w:p w14:paraId="71DEB8F2" w14:textId="77777777" w:rsidR="003530EC" w:rsidRDefault="00000000">
            <w:pPr>
              <w:spacing w:after="0"/>
              <w:jc w:val="right"/>
            </w:pPr>
            <w:r>
              <w:rPr>
                <w:rFonts w:ascii="Arial" w:hAnsi="Arial"/>
                <w:b/>
                <w:color w:val="FFFFFF"/>
                <w:sz w:val="19"/>
              </w:rPr>
              <w:t>Option C:</w:t>
            </w:r>
            <w:r>
              <w:rPr>
                <w:rFonts w:ascii="Arial" w:hAnsi="Arial"/>
                <w:b/>
                <w:color w:val="FFFFFF"/>
                <w:sz w:val="19"/>
              </w:rPr>
              <w:br/>
              <w:t>Accumulate (12 Mos)</w:t>
            </w:r>
          </w:p>
        </w:tc>
      </w:tr>
      <w:tr w:rsidR="003530EC" w14:paraId="77135F2B" w14:textId="77777777">
        <w:trPr>
          <w:jc w:val="center"/>
        </w:trPr>
        <w:tc>
          <w:tcPr>
            <w:tcW w:w="2592" w:type="dxa"/>
            <w:tcBorders>
              <w:bottom w:val="single" w:sz="4" w:space="0" w:color="E2E8F0"/>
            </w:tcBorders>
            <w:shd w:val="clear" w:color="auto" w:fill="F8FAFC"/>
            <w:tcMar>
              <w:top w:w="100" w:type="dxa"/>
              <w:left w:w="120" w:type="dxa"/>
              <w:bottom w:w="100" w:type="dxa"/>
              <w:right w:w="120" w:type="dxa"/>
            </w:tcMar>
          </w:tcPr>
          <w:p w14:paraId="68E266C9" w14:textId="77777777" w:rsidR="003530EC" w:rsidRDefault="00000000">
            <w:pPr>
              <w:spacing w:after="0"/>
            </w:pPr>
            <w:r>
              <w:t>Deposit % / Amount</w:t>
            </w:r>
          </w:p>
        </w:tc>
        <w:tc>
          <w:tcPr>
            <w:tcW w:w="2160" w:type="dxa"/>
            <w:tcBorders>
              <w:bottom w:val="single" w:sz="4" w:space="0" w:color="E2E8F0"/>
            </w:tcBorders>
            <w:shd w:val="clear" w:color="auto" w:fill="F8FAFC"/>
            <w:tcMar>
              <w:top w:w="100" w:type="dxa"/>
              <w:left w:w="120" w:type="dxa"/>
              <w:bottom w:w="100" w:type="dxa"/>
              <w:right w:w="120" w:type="dxa"/>
            </w:tcMar>
          </w:tcPr>
          <w:p w14:paraId="508E1911" w14:textId="77777777" w:rsidR="003530EC" w:rsidRDefault="00000000">
            <w:pPr>
              <w:spacing w:after="0"/>
              <w:jc w:val="right"/>
            </w:pPr>
            <w:r>
              <w:t>10% / $75,000</w:t>
            </w:r>
          </w:p>
        </w:tc>
        <w:tc>
          <w:tcPr>
            <w:tcW w:w="2304" w:type="dxa"/>
            <w:tcBorders>
              <w:bottom w:val="single" w:sz="4" w:space="0" w:color="E2E8F0"/>
            </w:tcBorders>
            <w:shd w:val="clear" w:color="auto" w:fill="F8FAFC"/>
            <w:tcMar>
              <w:top w:w="100" w:type="dxa"/>
              <w:left w:w="120" w:type="dxa"/>
              <w:bottom w:w="100" w:type="dxa"/>
              <w:right w:w="120" w:type="dxa"/>
            </w:tcMar>
          </w:tcPr>
          <w:p w14:paraId="7664782A" w14:textId="77777777" w:rsidR="003530EC" w:rsidRDefault="00000000">
            <w:pPr>
              <w:spacing w:after="0"/>
              <w:jc w:val="right"/>
            </w:pPr>
            <w:r>
              <w:t>10% (Now) -&gt; 20% (Settle)</w:t>
            </w:r>
          </w:p>
        </w:tc>
        <w:tc>
          <w:tcPr>
            <w:tcW w:w="2304" w:type="dxa"/>
            <w:tcBorders>
              <w:bottom w:val="single" w:sz="4" w:space="0" w:color="E2E8F0"/>
            </w:tcBorders>
            <w:shd w:val="clear" w:color="auto" w:fill="F8FAFC"/>
            <w:tcMar>
              <w:top w:w="100" w:type="dxa"/>
              <w:left w:w="120" w:type="dxa"/>
              <w:bottom w:w="100" w:type="dxa"/>
              <w:right w:w="120" w:type="dxa"/>
            </w:tcMar>
          </w:tcPr>
          <w:p w14:paraId="0762DF0B" w14:textId="77777777" w:rsidR="003530EC" w:rsidRDefault="00000000">
            <w:pPr>
              <w:spacing w:after="0"/>
              <w:jc w:val="right"/>
            </w:pPr>
            <w:r>
              <w:t>20% / $150,000</w:t>
            </w:r>
          </w:p>
        </w:tc>
      </w:tr>
      <w:tr w:rsidR="003530EC" w14:paraId="13D0D5A9" w14:textId="77777777">
        <w:trPr>
          <w:jc w:val="center"/>
        </w:trPr>
        <w:tc>
          <w:tcPr>
            <w:tcW w:w="2592" w:type="dxa"/>
            <w:tcBorders>
              <w:bottom w:val="single" w:sz="4" w:space="0" w:color="E2E8F0"/>
            </w:tcBorders>
            <w:shd w:val="clear" w:color="auto" w:fill="FFFFFF"/>
            <w:tcMar>
              <w:top w:w="100" w:type="dxa"/>
              <w:left w:w="120" w:type="dxa"/>
              <w:bottom w:w="100" w:type="dxa"/>
              <w:right w:w="120" w:type="dxa"/>
            </w:tcMar>
          </w:tcPr>
          <w:p w14:paraId="3D36DAF9" w14:textId="77777777" w:rsidR="003530EC" w:rsidRDefault="00000000">
            <w:pPr>
              <w:spacing w:after="0"/>
            </w:pPr>
            <w:r>
              <w:t>Federal Gov. Scheme</w:t>
            </w:r>
          </w:p>
        </w:tc>
        <w:tc>
          <w:tcPr>
            <w:tcW w:w="2160" w:type="dxa"/>
            <w:tcBorders>
              <w:bottom w:val="single" w:sz="4" w:space="0" w:color="E2E8F0"/>
            </w:tcBorders>
            <w:shd w:val="clear" w:color="auto" w:fill="FFFFFF"/>
            <w:tcMar>
              <w:top w:w="100" w:type="dxa"/>
              <w:left w:w="120" w:type="dxa"/>
              <w:bottom w:w="100" w:type="dxa"/>
              <w:right w:w="120" w:type="dxa"/>
            </w:tcMar>
          </w:tcPr>
          <w:p w14:paraId="7C7B60F0" w14:textId="77777777" w:rsidR="003530EC" w:rsidRDefault="00000000">
            <w:pPr>
              <w:spacing w:after="0"/>
              <w:jc w:val="right"/>
            </w:pPr>
            <w:r>
              <w:t>First Home Guarantee (FHBG)</w:t>
            </w:r>
          </w:p>
        </w:tc>
        <w:tc>
          <w:tcPr>
            <w:tcW w:w="2304" w:type="dxa"/>
            <w:tcBorders>
              <w:bottom w:val="single" w:sz="4" w:space="0" w:color="E2E8F0"/>
            </w:tcBorders>
            <w:shd w:val="clear" w:color="auto" w:fill="FFFFFF"/>
            <w:tcMar>
              <w:top w:w="100" w:type="dxa"/>
              <w:left w:w="120" w:type="dxa"/>
              <w:bottom w:w="100" w:type="dxa"/>
              <w:right w:w="120" w:type="dxa"/>
            </w:tcMar>
          </w:tcPr>
          <w:p w14:paraId="2442D944" w14:textId="77777777" w:rsidR="003530EC" w:rsidRDefault="00000000">
            <w:pPr>
              <w:spacing w:after="0"/>
              <w:jc w:val="right"/>
            </w:pPr>
            <w:r>
              <w:t>N/A (Off-the-plan timing)</w:t>
            </w:r>
          </w:p>
        </w:tc>
        <w:tc>
          <w:tcPr>
            <w:tcW w:w="2304" w:type="dxa"/>
            <w:tcBorders>
              <w:bottom w:val="single" w:sz="4" w:space="0" w:color="E2E8F0"/>
            </w:tcBorders>
            <w:shd w:val="clear" w:color="auto" w:fill="FFFFFF"/>
            <w:tcMar>
              <w:top w:w="100" w:type="dxa"/>
              <w:left w:w="120" w:type="dxa"/>
              <w:bottom w:w="100" w:type="dxa"/>
              <w:right w:w="120" w:type="dxa"/>
            </w:tcMar>
          </w:tcPr>
          <w:p w14:paraId="3395C5C5" w14:textId="77777777" w:rsidR="003530EC" w:rsidRDefault="00000000">
            <w:pPr>
              <w:spacing w:after="0"/>
              <w:jc w:val="right"/>
            </w:pPr>
            <w:r>
              <w:t>N/A (20% deposit achieved)</w:t>
            </w:r>
          </w:p>
        </w:tc>
      </w:tr>
      <w:tr w:rsidR="003530EC" w14:paraId="7E6B97AF" w14:textId="77777777">
        <w:trPr>
          <w:jc w:val="center"/>
        </w:trPr>
        <w:tc>
          <w:tcPr>
            <w:tcW w:w="2592" w:type="dxa"/>
            <w:tcBorders>
              <w:bottom w:val="single" w:sz="4" w:space="0" w:color="E2E8F0"/>
            </w:tcBorders>
            <w:shd w:val="clear" w:color="auto" w:fill="F8FAFC"/>
            <w:tcMar>
              <w:top w:w="100" w:type="dxa"/>
              <w:left w:w="120" w:type="dxa"/>
              <w:bottom w:w="100" w:type="dxa"/>
              <w:right w:w="120" w:type="dxa"/>
            </w:tcMar>
          </w:tcPr>
          <w:p w14:paraId="4DA1659F" w14:textId="77777777" w:rsidR="003530EC" w:rsidRDefault="00000000">
            <w:pPr>
              <w:spacing w:after="0"/>
            </w:pPr>
            <w:r>
              <w:t>Lenders Mortgage Ins.</w:t>
            </w:r>
          </w:p>
        </w:tc>
        <w:tc>
          <w:tcPr>
            <w:tcW w:w="2160" w:type="dxa"/>
            <w:tcBorders>
              <w:bottom w:val="single" w:sz="4" w:space="0" w:color="E2E8F0"/>
            </w:tcBorders>
            <w:shd w:val="clear" w:color="auto" w:fill="F8FAFC"/>
            <w:tcMar>
              <w:top w:w="100" w:type="dxa"/>
              <w:left w:w="120" w:type="dxa"/>
              <w:bottom w:w="100" w:type="dxa"/>
              <w:right w:w="120" w:type="dxa"/>
            </w:tcMar>
          </w:tcPr>
          <w:p w14:paraId="43C46B90" w14:textId="77777777" w:rsidR="003530EC" w:rsidRDefault="00000000">
            <w:pPr>
              <w:spacing w:after="0"/>
              <w:jc w:val="right"/>
            </w:pPr>
            <w:r>
              <w:t>$0.00 (FHBG Waived)</w:t>
            </w:r>
          </w:p>
        </w:tc>
        <w:tc>
          <w:tcPr>
            <w:tcW w:w="2304" w:type="dxa"/>
            <w:tcBorders>
              <w:bottom w:val="single" w:sz="4" w:space="0" w:color="E2E8F0"/>
            </w:tcBorders>
            <w:shd w:val="clear" w:color="auto" w:fill="F8FAFC"/>
            <w:tcMar>
              <w:top w:w="100" w:type="dxa"/>
              <w:left w:w="120" w:type="dxa"/>
              <w:bottom w:w="100" w:type="dxa"/>
              <w:right w:w="120" w:type="dxa"/>
            </w:tcMar>
          </w:tcPr>
          <w:p w14:paraId="615F553E" w14:textId="77777777" w:rsidR="003530EC" w:rsidRDefault="00000000">
            <w:pPr>
              <w:spacing w:after="0"/>
              <w:jc w:val="right"/>
            </w:pPr>
            <w:r>
              <w:t>$0.00 (Settle with 20%)</w:t>
            </w:r>
          </w:p>
        </w:tc>
        <w:tc>
          <w:tcPr>
            <w:tcW w:w="2304" w:type="dxa"/>
            <w:tcBorders>
              <w:bottom w:val="single" w:sz="4" w:space="0" w:color="E2E8F0"/>
            </w:tcBorders>
            <w:shd w:val="clear" w:color="auto" w:fill="F8FAFC"/>
            <w:tcMar>
              <w:top w:w="100" w:type="dxa"/>
              <w:left w:w="120" w:type="dxa"/>
              <w:bottom w:w="100" w:type="dxa"/>
              <w:right w:w="120" w:type="dxa"/>
            </w:tcMar>
          </w:tcPr>
          <w:p w14:paraId="215614E0" w14:textId="77777777" w:rsidR="003530EC" w:rsidRDefault="00000000">
            <w:pPr>
              <w:spacing w:after="0"/>
              <w:jc w:val="right"/>
            </w:pPr>
            <w:r>
              <w:t>$0.00 (20% deposit avoids LMI)</w:t>
            </w:r>
          </w:p>
        </w:tc>
      </w:tr>
      <w:tr w:rsidR="003530EC" w14:paraId="3E66BA7D" w14:textId="77777777">
        <w:trPr>
          <w:jc w:val="center"/>
        </w:trPr>
        <w:tc>
          <w:tcPr>
            <w:tcW w:w="2592" w:type="dxa"/>
            <w:tcBorders>
              <w:bottom w:val="single" w:sz="4" w:space="0" w:color="E2E8F0"/>
            </w:tcBorders>
            <w:shd w:val="clear" w:color="auto" w:fill="FFFFFF"/>
            <w:tcMar>
              <w:top w:w="100" w:type="dxa"/>
              <w:left w:w="120" w:type="dxa"/>
              <w:bottom w:w="100" w:type="dxa"/>
              <w:right w:w="120" w:type="dxa"/>
            </w:tcMar>
          </w:tcPr>
          <w:p w14:paraId="00A70B44" w14:textId="77777777" w:rsidR="003530EC" w:rsidRDefault="00000000">
            <w:pPr>
              <w:spacing w:after="0"/>
            </w:pPr>
            <w:r>
              <w:t>NSW Stamp Duty</w:t>
            </w:r>
          </w:p>
        </w:tc>
        <w:tc>
          <w:tcPr>
            <w:tcW w:w="2160" w:type="dxa"/>
            <w:tcBorders>
              <w:bottom w:val="single" w:sz="4" w:space="0" w:color="E2E8F0"/>
            </w:tcBorders>
            <w:shd w:val="clear" w:color="auto" w:fill="FFFFFF"/>
            <w:tcMar>
              <w:top w:w="100" w:type="dxa"/>
              <w:left w:w="120" w:type="dxa"/>
              <w:bottom w:w="100" w:type="dxa"/>
              <w:right w:w="120" w:type="dxa"/>
            </w:tcMar>
          </w:tcPr>
          <w:p w14:paraId="2367D864" w14:textId="77777777" w:rsidR="003530EC" w:rsidRDefault="00000000">
            <w:pPr>
              <w:spacing w:after="0"/>
              <w:jc w:val="right"/>
            </w:pPr>
            <w:r>
              <w:t>$0.00 (FHBAS Exempt)</w:t>
            </w:r>
          </w:p>
        </w:tc>
        <w:tc>
          <w:tcPr>
            <w:tcW w:w="2304" w:type="dxa"/>
            <w:tcBorders>
              <w:bottom w:val="single" w:sz="4" w:space="0" w:color="E2E8F0"/>
            </w:tcBorders>
            <w:shd w:val="clear" w:color="auto" w:fill="FFFFFF"/>
            <w:tcMar>
              <w:top w:w="100" w:type="dxa"/>
              <w:left w:w="120" w:type="dxa"/>
              <w:bottom w:w="100" w:type="dxa"/>
              <w:right w:w="120" w:type="dxa"/>
            </w:tcMar>
          </w:tcPr>
          <w:p w14:paraId="61E54001" w14:textId="77777777" w:rsidR="003530EC" w:rsidRDefault="00000000">
            <w:pPr>
              <w:spacing w:after="0"/>
              <w:jc w:val="right"/>
            </w:pPr>
            <w:r>
              <w:t>$0.00 (FHBAS Exempt)</w:t>
            </w:r>
          </w:p>
        </w:tc>
        <w:tc>
          <w:tcPr>
            <w:tcW w:w="2304" w:type="dxa"/>
            <w:tcBorders>
              <w:bottom w:val="single" w:sz="4" w:space="0" w:color="E2E8F0"/>
            </w:tcBorders>
            <w:shd w:val="clear" w:color="auto" w:fill="FFFFFF"/>
            <w:tcMar>
              <w:top w:w="100" w:type="dxa"/>
              <w:left w:w="120" w:type="dxa"/>
              <w:bottom w:w="100" w:type="dxa"/>
              <w:right w:w="120" w:type="dxa"/>
            </w:tcMar>
          </w:tcPr>
          <w:p w14:paraId="32D55D3D" w14:textId="77777777" w:rsidR="003530EC" w:rsidRDefault="00000000">
            <w:pPr>
              <w:spacing w:after="0"/>
              <w:jc w:val="right"/>
            </w:pPr>
            <w:r>
              <w:t>$0.00 (FHBAS Exempt)</w:t>
            </w:r>
          </w:p>
        </w:tc>
      </w:tr>
      <w:tr w:rsidR="003530EC" w14:paraId="23F08AA2" w14:textId="77777777">
        <w:trPr>
          <w:jc w:val="center"/>
        </w:trPr>
        <w:tc>
          <w:tcPr>
            <w:tcW w:w="2592" w:type="dxa"/>
            <w:tcBorders>
              <w:bottom w:val="single" w:sz="4" w:space="0" w:color="E2E8F0"/>
            </w:tcBorders>
            <w:shd w:val="clear" w:color="auto" w:fill="F8FAFC"/>
            <w:tcMar>
              <w:top w:w="100" w:type="dxa"/>
              <w:left w:w="120" w:type="dxa"/>
              <w:bottom w:w="100" w:type="dxa"/>
              <w:right w:w="120" w:type="dxa"/>
            </w:tcMar>
          </w:tcPr>
          <w:p w14:paraId="060D1246" w14:textId="77777777" w:rsidR="003530EC" w:rsidRDefault="00000000">
            <w:pPr>
              <w:spacing w:after="0"/>
            </w:pPr>
            <w:r>
              <w:t>Total Upfront Cash Req.</w:t>
            </w:r>
          </w:p>
        </w:tc>
        <w:tc>
          <w:tcPr>
            <w:tcW w:w="2160" w:type="dxa"/>
            <w:tcBorders>
              <w:bottom w:val="single" w:sz="4" w:space="0" w:color="E2E8F0"/>
            </w:tcBorders>
            <w:shd w:val="clear" w:color="auto" w:fill="F8FAFC"/>
            <w:tcMar>
              <w:top w:w="100" w:type="dxa"/>
              <w:left w:w="120" w:type="dxa"/>
              <w:bottom w:w="100" w:type="dxa"/>
              <w:right w:w="120" w:type="dxa"/>
            </w:tcMar>
          </w:tcPr>
          <w:p w14:paraId="3E82B822" w14:textId="77777777" w:rsidR="003530EC" w:rsidRDefault="00000000">
            <w:pPr>
              <w:spacing w:after="0"/>
              <w:jc w:val="right"/>
            </w:pPr>
            <w:r>
              <w:t>~$79,500 (Incl. fees)</w:t>
            </w:r>
          </w:p>
        </w:tc>
        <w:tc>
          <w:tcPr>
            <w:tcW w:w="2304" w:type="dxa"/>
            <w:tcBorders>
              <w:bottom w:val="single" w:sz="4" w:space="0" w:color="E2E8F0"/>
            </w:tcBorders>
            <w:shd w:val="clear" w:color="auto" w:fill="F8FAFC"/>
            <w:tcMar>
              <w:top w:w="100" w:type="dxa"/>
              <w:left w:w="120" w:type="dxa"/>
              <w:bottom w:w="100" w:type="dxa"/>
              <w:right w:w="120" w:type="dxa"/>
            </w:tcMar>
          </w:tcPr>
          <w:p w14:paraId="37DECCBD" w14:textId="77777777" w:rsidR="003530EC" w:rsidRDefault="00000000">
            <w:pPr>
              <w:spacing w:after="0"/>
              <w:jc w:val="right"/>
            </w:pPr>
            <w:r>
              <w:t>~$79,500 (Now) + $75k</w:t>
            </w:r>
          </w:p>
        </w:tc>
        <w:tc>
          <w:tcPr>
            <w:tcW w:w="2304" w:type="dxa"/>
            <w:tcBorders>
              <w:bottom w:val="single" w:sz="4" w:space="0" w:color="E2E8F0"/>
            </w:tcBorders>
            <w:shd w:val="clear" w:color="auto" w:fill="F8FAFC"/>
            <w:tcMar>
              <w:top w:w="100" w:type="dxa"/>
              <w:left w:w="120" w:type="dxa"/>
              <w:bottom w:w="100" w:type="dxa"/>
              <w:right w:w="120" w:type="dxa"/>
            </w:tcMar>
          </w:tcPr>
          <w:p w14:paraId="79614713" w14:textId="77777777" w:rsidR="003530EC" w:rsidRDefault="00000000">
            <w:pPr>
              <w:spacing w:after="0"/>
              <w:jc w:val="right"/>
            </w:pPr>
            <w:r>
              <w:t>~$154,500 (Incl. fees)</w:t>
            </w:r>
          </w:p>
        </w:tc>
      </w:tr>
      <w:tr w:rsidR="003530EC" w14:paraId="1FD1B12F" w14:textId="77777777">
        <w:trPr>
          <w:jc w:val="center"/>
        </w:trPr>
        <w:tc>
          <w:tcPr>
            <w:tcW w:w="2592" w:type="dxa"/>
            <w:tcBorders>
              <w:bottom w:val="single" w:sz="4" w:space="0" w:color="E2E8F0"/>
            </w:tcBorders>
            <w:shd w:val="clear" w:color="auto" w:fill="FFFFFF"/>
            <w:tcMar>
              <w:top w:w="100" w:type="dxa"/>
              <w:left w:w="120" w:type="dxa"/>
              <w:bottom w:w="100" w:type="dxa"/>
              <w:right w:w="120" w:type="dxa"/>
            </w:tcMar>
          </w:tcPr>
          <w:p w14:paraId="5E031D86" w14:textId="77777777" w:rsidR="003530EC" w:rsidRDefault="00000000">
            <w:pPr>
              <w:spacing w:after="0"/>
            </w:pPr>
            <w:r>
              <w:t>Remaining Buffer</w:t>
            </w:r>
          </w:p>
        </w:tc>
        <w:tc>
          <w:tcPr>
            <w:tcW w:w="2160" w:type="dxa"/>
            <w:tcBorders>
              <w:bottom w:val="single" w:sz="4" w:space="0" w:color="E2E8F0"/>
            </w:tcBorders>
            <w:shd w:val="clear" w:color="auto" w:fill="FFFFFF"/>
            <w:tcMar>
              <w:top w:w="100" w:type="dxa"/>
              <w:left w:w="120" w:type="dxa"/>
              <w:bottom w:w="100" w:type="dxa"/>
              <w:right w:w="120" w:type="dxa"/>
            </w:tcMar>
          </w:tcPr>
          <w:p w14:paraId="3890921E" w14:textId="77777777" w:rsidR="003530EC" w:rsidRDefault="00000000">
            <w:pPr>
              <w:spacing w:after="0"/>
              <w:jc w:val="right"/>
            </w:pPr>
            <w:r>
              <w:t>$52,615 (Safety buffer met)</w:t>
            </w:r>
          </w:p>
        </w:tc>
        <w:tc>
          <w:tcPr>
            <w:tcW w:w="2304" w:type="dxa"/>
            <w:tcBorders>
              <w:bottom w:val="single" w:sz="4" w:space="0" w:color="E2E8F0"/>
            </w:tcBorders>
            <w:shd w:val="clear" w:color="auto" w:fill="FFFFFF"/>
            <w:tcMar>
              <w:top w:w="100" w:type="dxa"/>
              <w:left w:w="120" w:type="dxa"/>
              <w:bottom w:w="100" w:type="dxa"/>
              <w:right w:w="120" w:type="dxa"/>
            </w:tcMar>
          </w:tcPr>
          <w:p w14:paraId="1D426D14" w14:textId="77777777" w:rsidR="003530EC" w:rsidRDefault="00000000">
            <w:pPr>
              <w:spacing w:after="0"/>
              <w:jc w:val="right"/>
            </w:pPr>
            <w:r>
              <w:t>$52,615 (Now) -&gt; $154k+</w:t>
            </w:r>
          </w:p>
        </w:tc>
        <w:tc>
          <w:tcPr>
            <w:tcW w:w="2304" w:type="dxa"/>
            <w:tcBorders>
              <w:bottom w:val="single" w:sz="4" w:space="0" w:color="E2E8F0"/>
            </w:tcBorders>
            <w:shd w:val="clear" w:color="auto" w:fill="FFFFFF"/>
            <w:tcMar>
              <w:top w:w="100" w:type="dxa"/>
              <w:left w:w="120" w:type="dxa"/>
              <w:bottom w:w="100" w:type="dxa"/>
              <w:right w:w="120" w:type="dxa"/>
            </w:tcMar>
          </w:tcPr>
          <w:p w14:paraId="185F6C7D" w14:textId="77777777" w:rsidR="003530EC" w:rsidRDefault="00000000">
            <w:pPr>
              <w:spacing w:after="0"/>
              <w:jc w:val="right"/>
            </w:pPr>
            <w:r>
              <w:t>$72,539 (Safety buffer met)</w:t>
            </w:r>
          </w:p>
        </w:tc>
      </w:tr>
    </w:tbl>
    <w:p w14:paraId="4A870D46" w14:textId="77777777" w:rsidR="003530EC" w:rsidRDefault="003530EC">
      <w:pPr>
        <w:spacing w:after="120"/>
      </w:pPr>
    </w:p>
    <w:tbl>
      <w:tblPr>
        <w:tblW w:w="0" w:type="auto"/>
        <w:jc w:val="center"/>
        <w:tblLayout w:type="fixed"/>
        <w:tblLook w:val="04A0" w:firstRow="1" w:lastRow="0" w:firstColumn="1" w:lastColumn="0" w:noHBand="0" w:noVBand="1"/>
      </w:tblPr>
      <w:tblGrid>
        <w:gridCol w:w="9360"/>
      </w:tblGrid>
      <w:tr w:rsidR="003530EC" w14:paraId="54EA3B11" w14:textId="77777777">
        <w:trPr>
          <w:jc w:val="center"/>
        </w:trPr>
        <w:tc>
          <w:tcPr>
            <w:tcW w:w="9360" w:type="dxa"/>
            <w:tcBorders>
              <w:left w:val="single" w:sz="36" w:space="0" w:color="0F766E"/>
            </w:tcBorders>
            <w:shd w:val="clear" w:color="auto" w:fill="F1F5F9"/>
            <w:tcMar>
              <w:top w:w="140" w:type="dxa"/>
              <w:left w:w="200" w:type="dxa"/>
              <w:bottom w:w="140" w:type="dxa"/>
              <w:right w:w="140" w:type="dxa"/>
            </w:tcMar>
          </w:tcPr>
          <w:p w14:paraId="3A150EEC" w14:textId="77777777" w:rsidR="003530EC" w:rsidRDefault="00000000">
            <w:pPr>
              <w:spacing w:after="0"/>
            </w:pPr>
            <w:r>
              <w:rPr>
                <w:rFonts w:ascii="Arial" w:hAnsi="Arial"/>
                <w:b/>
                <w:color w:val="0F766E"/>
                <w:sz w:val="21"/>
              </w:rPr>
              <w:t>Strategic Policy Update: First Home Guarantee</w:t>
            </w:r>
            <w:r>
              <w:rPr>
                <w:rFonts w:ascii="Arial" w:hAnsi="Arial"/>
                <w:b/>
                <w:color w:val="0F766E"/>
                <w:sz w:val="21"/>
              </w:rPr>
              <w:br/>
            </w:r>
            <w:r>
              <w:rPr>
                <w:rFonts w:ascii="Arial" w:hAnsi="Arial"/>
                <w:i/>
                <w:color w:val="475569"/>
                <w:sz w:val="20"/>
              </w:rPr>
              <w:t>Following the removal of the $125,000 individual income cap on 1 October 2025, I am fully eligible for the Australian Government's First Home Guarantee (FHBG). The scheme guarantees up to 15% of the property value for eligible buyers. This allows me to purchase an established property immediately with a 10% deposit (Option A) and pay $0.00 in Lenders Mortgage Insurance (LMI), which typically costs $9,000 to $16,000 at this Loan-to-Value Ratio (90% LVR).</w:t>
            </w:r>
          </w:p>
        </w:tc>
      </w:tr>
    </w:tbl>
    <w:p w14:paraId="38E8D205" w14:textId="77777777" w:rsidR="003530EC" w:rsidRDefault="003530EC">
      <w:pPr>
        <w:spacing w:after="120"/>
      </w:pPr>
    </w:p>
    <w:p w14:paraId="56CDD14C" w14:textId="77777777" w:rsidR="003530EC" w:rsidRDefault="00000000">
      <w:pPr>
        <w:keepNext/>
        <w:spacing w:before="360" w:after="120"/>
      </w:pPr>
      <w:r>
        <w:rPr>
          <w:rFonts w:ascii="Arial" w:hAnsi="Arial"/>
          <w:b/>
          <w:color w:val="1F3A60"/>
          <w:sz w:val="32"/>
        </w:rPr>
        <w:lastRenderedPageBreak/>
        <w:t>6. Mortgage Stress Testing &amp; Cash Flow Analysis</w:t>
      </w:r>
    </w:p>
    <w:p w14:paraId="30E33564" w14:textId="0D422FD9" w:rsidR="003530EC" w:rsidRDefault="00000000">
      <w:pPr>
        <w:spacing w:after="120"/>
      </w:pPr>
      <w:r>
        <w:rPr>
          <w:rFonts w:ascii="Arial" w:hAnsi="Arial"/>
          <w:color w:val="333333"/>
          <w:sz w:val="21"/>
        </w:rPr>
        <w:t xml:space="preserve">I have stress-tested my monthly </w:t>
      </w:r>
      <w:r w:rsidR="000373E1">
        <w:rPr>
          <w:rFonts w:ascii="Arial" w:hAnsi="Arial"/>
          <w:color w:val="333333"/>
          <w:sz w:val="21"/>
        </w:rPr>
        <w:t xml:space="preserve">scenarios </w:t>
      </w:r>
      <w:r>
        <w:rPr>
          <w:rFonts w:ascii="Arial" w:hAnsi="Arial"/>
          <w:color w:val="333333"/>
          <w:sz w:val="21"/>
        </w:rPr>
        <w:t>post-purchase. This modeling assumes a loan principal of $600,000 (assuming a 20% deposit is achieved via Option B or Option C) or $675,000 (under Option A with a 10% deposit). The calculations below model the $600,000 loan balance and compare a standard 6.00% p.a. interest rate against a highly conservative 8.00% p.a. interest rate scenario (stress test):</w:t>
      </w:r>
    </w:p>
    <w:tbl>
      <w:tblPr>
        <w:tblW w:w="0" w:type="auto"/>
        <w:jc w:val="center"/>
        <w:tblLook w:val="04A0" w:firstRow="1" w:lastRow="0" w:firstColumn="1" w:lastColumn="0" w:noHBand="0" w:noVBand="1"/>
      </w:tblPr>
      <w:tblGrid>
        <w:gridCol w:w="3600"/>
        <w:gridCol w:w="2880"/>
        <w:gridCol w:w="2880"/>
      </w:tblGrid>
      <w:tr w:rsidR="003530EC" w14:paraId="07790F76" w14:textId="77777777">
        <w:trPr>
          <w:jc w:val="center"/>
        </w:trPr>
        <w:tc>
          <w:tcPr>
            <w:tcW w:w="3600" w:type="dxa"/>
            <w:shd w:val="clear" w:color="auto" w:fill="1F3A60"/>
            <w:tcMar>
              <w:top w:w="120" w:type="dxa"/>
              <w:left w:w="120" w:type="dxa"/>
              <w:bottom w:w="120" w:type="dxa"/>
              <w:right w:w="120" w:type="dxa"/>
            </w:tcMar>
          </w:tcPr>
          <w:p w14:paraId="1783FC92" w14:textId="77777777" w:rsidR="003530EC" w:rsidRDefault="00000000">
            <w:pPr>
              <w:spacing w:after="0"/>
            </w:pPr>
            <w:r>
              <w:rPr>
                <w:rFonts w:ascii="Arial" w:hAnsi="Arial"/>
                <w:b/>
                <w:color w:val="FFFFFF"/>
                <w:sz w:val="19"/>
              </w:rPr>
              <w:t>Monthly Budget Line Item</w:t>
            </w:r>
          </w:p>
        </w:tc>
        <w:tc>
          <w:tcPr>
            <w:tcW w:w="2880" w:type="dxa"/>
            <w:shd w:val="clear" w:color="auto" w:fill="1F3A60"/>
            <w:tcMar>
              <w:top w:w="120" w:type="dxa"/>
              <w:left w:w="120" w:type="dxa"/>
              <w:bottom w:w="120" w:type="dxa"/>
              <w:right w:w="120" w:type="dxa"/>
            </w:tcMar>
          </w:tcPr>
          <w:p w14:paraId="3D7D2C34" w14:textId="77777777" w:rsidR="003530EC" w:rsidRDefault="00000000">
            <w:pPr>
              <w:spacing w:after="0"/>
              <w:jc w:val="right"/>
            </w:pPr>
            <w:r>
              <w:rPr>
                <w:rFonts w:ascii="Arial" w:hAnsi="Arial"/>
                <w:b/>
                <w:color w:val="FFFFFF"/>
                <w:sz w:val="19"/>
              </w:rPr>
              <w:t>Base Case (6.00% Rate)</w:t>
            </w:r>
          </w:p>
        </w:tc>
        <w:tc>
          <w:tcPr>
            <w:tcW w:w="2880" w:type="dxa"/>
            <w:shd w:val="clear" w:color="auto" w:fill="1F3A60"/>
            <w:tcMar>
              <w:top w:w="120" w:type="dxa"/>
              <w:left w:w="120" w:type="dxa"/>
              <w:bottom w:w="120" w:type="dxa"/>
              <w:right w:w="120" w:type="dxa"/>
            </w:tcMar>
          </w:tcPr>
          <w:p w14:paraId="0615A574" w14:textId="77777777" w:rsidR="003530EC" w:rsidRDefault="00000000">
            <w:pPr>
              <w:spacing w:after="0"/>
              <w:jc w:val="right"/>
            </w:pPr>
            <w:r>
              <w:rPr>
                <w:rFonts w:ascii="Arial" w:hAnsi="Arial"/>
                <w:b/>
                <w:color w:val="FFFFFF"/>
                <w:sz w:val="19"/>
              </w:rPr>
              <w:t>Stress Test (8.00% Rate)</w:t>
            </w:r>
          </w:p>
        </w:tc>
      </w:tr>
      <w:tr w:rsidR="003530EC" w14:paraId="6CAF8D3B"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4A52DDCF" w14:textId="77777777" w:rsidR="003530EC" w:rsidRDefault="00000000">
            <w:pPr>
              <w:spacing w:after="0"/>
            </w:pPr>
            <w:r>
              <w:t>Net Monthly Take-Home Income</w:t>
            </w:r>
          </w:p>
        </w:tc>
        <w:tc>
          <w:tcPr>
            <w:tcW w:w="2880" w:type="dxa"/>
            <w:tcBorders>
              <w:bottom w:val="single" w:sz="4" w:space="0" w:color="E2E8F0"/>
            </w:tcBorders>
            <w:shd w:val="clear" w:color="auto" w:fill="F8FAFC"/>
            <w:tcMar>
              <w:top w:w="100" w:type="dxa"/>
              <w:left w:w="120" w:type="dxa"/>
              <w:bottom w:w="100" w:type="dxa"/>
              <w:right w:w="120" w:type="dxa"/>
            </w:tcMar>
          </w:tcPr>
          <w:p w14:paraId="68143406" w14:textId="77777777" w:rsidR="003530EC" w:rsidRDefault="00000000">
            <w:pPr>
              <w:spacing w:after="0"/>
              <w:jc w:val="right"/>
            </w:pPr>
            <w:r>
              <w:t>$9,710.36</w:t>
            </w:r>
          </w:p>
        </w:tc>
        <w:tc>
          <w:tcPr>
            <w:tcW w:w="2880" w:type="dxa"/>
            <w:tcBorders>
              <w:bottom w:val="single" w:sz="4" w:space="0" w:color="E2E8F0"/>
            </w:tcBorders>
            <w:shd w:val="clear" w:color="auto" w:fill="F8FAFC"/>
            <w:tcMar>
              <w:top w:w="100" w:type="dxa"/>
              <w:left w:w="120" w:type="dxa"/>
              <w:bottom w:w="100" w:type="dxa"/>
              <w:right w:w="120" w:type="dxa"/>
            </w:tcMar>
          </w:tcPr>
          <w:p w14:paraId="6A1CC49C" w14:textId="77777777" w:rsidR="003530EC" w:rsidRDefault="00000000">
            <w:pPr>
              <w:spacing w:after="0"/>
              <w:jc w:val="right"/>
            </w:pPr>
            <w:r>
              <w:t>$9,710.36</w:t>
            </w:r>
          </w:p>
        </w:tc>
      </w:tr>
      <w:tr w:rsidR="003530EC" w14:paraId="687D29EF"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25C9F43D" w14:textId="77777777" w:rsidR="003530EC" w:rsidRDefault="00000000">
            <w:pPr>
              <w:spacing w:after="0"/>
            </w:pPr>
            <w:r>
              <w:t>Less: Mortgage Repayments (P&amp;I)</w:t>
            </w:r>
          </w:p>
        </w:tc>
        <w:tc>
          <w:tcPr>
            <w:tcW w:w="2880" w:type="dxa"/>
            <w:tcBorders>
              <w:bottom w:val="single" w:sz="4" w:space="0" w:color="E2E8F0"/>
            </w:tcBorders>
            <w:shd w:val="clear" w:color="auto" w:fill="FFFFFF"/>
            <w:tcMar>
              <w:top w:w="100" w:type="dxa"/>
              <w:left w:w="120" w:type="dxa"/>
              <w:bottom w:w="100" w:type="dxa"/>
              <w:right w:w="120" w:type="dxa"/>
            </w:tcMar>
          </w:tcPr>
          <w:p w14:paraId="4FAB9FE7" w14:textId="77777777" w:rsidR="003530EC" w:rsidRDefault="00000000">
            <w:pPr>
              <w:spacing w:after="0"/>
              <w:jc w:val="right"/>
            </w:pPr>
            <w:r>
              <w:t>-$3,597.30</w:t>
            </w:r>
          </w:p>
        </w:tc>
        <w:tc>
          <w:tcPr>
            <w:tcW w:w="2880" w:type="dxa"/>
            <w:tcBorders>
              <w:bottom w:val="single" w:sz="4" w:space="0" w:color="E2E8F0"/>
            </w:tcBorders>
            <w:shd w:val="clear" w:color="auto" w:fill="FFFFFF"/>
            <w:tcMar>
              <w:top w:w="100" w:type="dxa"/>
              <w:left w:w="120" w:type="dxa"/>
              <w:bottom w:w="100" w:type="dxa"/>
              <w:right w:w="120" w:type="dxa"/>
            </w:tcMar>
          </w:tcPr>
          <w:p w14:paraId="06222F4C" w14:textId="77777777" w:rsidR="003530EC" w:rsidRDefault="00000000">
            <w:pPr>
              <w:spacing w:after="0"/>
              <w:jc w:val="right"/>
            </w:pPr>
            <w:r>
              <w:t>-$4,402.58</w:t>
            </w:r>
          </w:p>
        </w:tc>
      </w:tr>
      <w:tr w:rsidR="003530EC" w14:paraId="1AF0D5EC"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24BE9FED" w14:textId="77777777" w:rsidR="003530EC" w:rsidRDefault="00000000">
            <w:pPr>
              <w:spacing w:after="0"/>
            </w:pPr>
            <w:r>
              <w:t>Less: Holding Costs (Strata/Rates)</w:t>
            </w:r>
          </w:p>
        </w:tc>
        <w:tc>
          <w:tcPr>
            <w:tcW w:w="2880" w:type="dxa"/>
            <w:tcBorders>
              <w:bottom w:val="single" w:sz="4" w:space="0" w:color="E2E8F0"/>
            </w:tcBorders>
            <w:shd w:val="clear" w:color="auto" w:fill="F8FAFC"/>
            <w:tcMar>
              <w:top w:w="100" w:type="dxa"/>
              <w:left w:w="120" w:type="dxa"/>
              <w:bottom w:w="100" w:type="dxa"/>
              <w:right w:w="120" w:type="dxa"/>
            </w:tcMar>
          </w:tcPr>
          <w:p w14:paraId="400A025E" w14:textId="77777777" w:rsidR="003530EC" w:rsidRDefault="00000000">
            <w:pPr>
              <w:spacing w:after="0"/>
              <w:jc w:val="right"/>
            </w:pPr>
            <w:r>
              <w:t>-$600.00</w:t>
            </w:r>
          </w:p>
        </w:tc>
        <w:tc>
          <w:tcPr>
            <w:tcW w:w="2880" w:type="dxa"/>
            <w:tcBorders>
              <w:bottom w:val="single" w:sz="4" w:space="0" w:color="E2E8F0"/>
            </w:tcBorders>
            <w:shd w:val="clear" w:color="auto" w:fill="F8FAFC"/>
            <w:tcMar>
              <w:top w:w="100" w:type="dxa"/>
              <w:left w:w="120" w:type="dxa"/>
              <w:bottom w:w="100" w:type="dxa"/>
              <w:right w:w="120" w:type="dxa"/>
            </w:tcMar>
          </w:tcPr>
          <w:p w14:paraId="5B099D9F" w14:textId="77777777" w:rsidR="003530EC" w:rsidRDefault="00000000">
            <w:pPr>
              <w:spacing w:after="0"/>
              <w:jc w:val="right"/>
            </w:pPr>
            <w:r>
              <w:t>-$700.00</w:t>
            </w:r>
          </w:p>
        </w:tc>
      </w:tr>
      <w:tr w:rsidR="003530EC" w14:paraId="5B3100AA"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244B8D90" w14:textId="77777777" w:rsidR="003530EC" w:rsidRDefault="00000000">
            <w:pPr>
              <w:spacing w:after="0"/>
            </w:pPr>
            <w:r>
              <w:t>Less: General Living Expenses</w:t>
            </w:r>
          </w:p>
        </w:tc>
        <w:tc>
          <w:tcPr>
            <w:tcW w:w="2880" w:type="dxa"/>
            <w:tcBorders>
              <w:bottom w:val="single" w:sz="4" w:space="0" w:color="E2E8F0"/>
            </w:tcBorders>
            <w:shd w:val="clear" w:color="auto" w:fill="FFFFFF"/>
            <w:tcMar>
              <w:top w:w="100" w:type="dxa"/>
              <w:left w:w="120" w:type="dxa"/>
              <w:bottom w:w="100" w:type="dxa"/>
              <w:right w:w="120" w:type="dxa"/>
            </w:tcMar>
          </w:tcPr>
          <w:p w14:paraId="01828417" w14:textId="77777777" w:rsidR="003530EC" w:rsidRDefault="00000000">
            <w:pPr>
              <w:spacing w:after="0"/>
              <w:jc w:val="right"/>
            </w:pPr>
            <w:r>
              <w:t>-$1,500.00</w:t>
            </w:r>
          </w:p>
        </w:tc>
        <w:tc>
          <w:tcPr>
            <w:tcW w:w="2880" w:type="dxa"/>
            <w:tcBorders>
              <w:bottom w:val="single" w:sz="4" w:space="0" w:color="E2E8F0"/>
            </w:tcBorders>
            <w:shd w:val="clear" w:color="auto" w:fill="FFFFFF"/>
            <w:tcMar>
              <w:top w:w="100" w:type="dxa"/>
              <w:left w:w="120" w:type="dxa"/>
              <w:bottom w:w="100" w:type="dxa"/>
              <w:right w:w="120" w:type="dxa"/>
            </w:tcMar>
          </w:tcPr>
          <w:p w14:paraId="0712115E" w14:textId="77777777" w:rsidR="003530EC" w:rsidRDefault="00000000">
            <w:pPr>
              <w:spacing w:after="0"/>
              <w:jc w:val="right"/>
            </w:pPr>
            <w:r>
              <w:t>-$3,000.00 (Doubled)</w:t>
            </w:r>
          </w:p>
        </w:tc>
      </w:tr>
      <w:tr w:rsidR="003530EC" w14:paraId="541E25C4"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01F363F9" w14:textId="77777777" w:rsidR="003530EC" w:rsidRDefault="00000000">
            <w:pPr>
              <w:spacing w:after="0"/>
            </w:pPr>
            <w:r>
              <w:rPr>
                <w:b/>
              </w:rPr>
              <w:t>Remaining Net Monthly Surplus</w:t>
            </w:r>
          </w:p>
        </w:tc>
        <w:tc>
          <w:tcPr>
            <w:tcW w:w="2880" w:type="dxa"/>
            <w:tcBorders>
              <w:bottom w:val="single" w:sz="4" w:space="0" w:color="E2E8F0"/>
            </w:tcBorders>
            <w:shd w:val="clear" w:color="auto" w:fill="F8FAFC"/>
            <w:tcMar>
              <w:top w:w="100" w:type="dxa"/>
              <w:left w:w="120" w:type="dxa"/>
              <w:bottom w:w="100" w:type="dxa"/>
              <w:right w:w="120" w:type="dxa"/>
            </w:tcMar>
          </w:tcPr>
          <w:p w14:paraId="714EFA08" w14:textId="77777777" w:rsidR="003530EC" w:rsidRDefault="00000000">
            <w:pPr>
              <w:spacing w:after="0"/>
              <w:jc w:val="right"/>
            </w:pPr>
            <w:r>
              <w:rPr>
                <w:b/>
              </w:rPr>
              <w:t>$4,013.06</w:t>
            </w:r>
          </w:p>
        </w:tc>
        <w:tc>
          <w:tcPr>
            <w:tcW w:w="2880" w:type="dxa"/>
            <w:tcBorders>
              <w:bottom w:val="single" w:sz="4" w:space="0" w:color="E2E8F0"/>
            </w:tcBorders>
            <w:shd w:val="clear" w:color="auto" w:fill="F8FAFC"/>
            <w:tcMar>
              <w:top w:w="100" w:type="dxa"/>
              <w:left w:w="120" w:type="dxa"/>
              <w:bottom w:w="100" w:type="dxa"/>
              <w:right w:w="120" w:type="dxa"/>
            </w:tcMar>
          </w:tcPr>
          <w:p w14:paraId="7DDAF60C" w14:textId="77777777" w:rsidR="003530EC" w:rsidRDefault="00000000">
            <w:pPr>
              <w:spacing w:after="0"/>
              <w:jc w:val="right"/>
            </w:pPr>
            <w:r>
              <w:rPr>
                <w:b/>
              </w:rPr>
              <w:t>$1,607.78</w:t>
            </w:r>
          </w:p>
        </w:tc>
      </w:tr>
    </w:tbl>
    <w:p w14:paraId="239BB057" w14:textId="77777777" w:rsidR="003530EC" w:rsidRDefault="003530EC">
      <w:pPr>
        <w:spacing w:after="240"/>
      </w:pPr>
    </w:p>
    <w:p w14:paraId="26C8AECE" w14:textId="77777777" w:rsidR="003530EC" w:rsidRDefault="00000000">
      <w:pPr>
        <w:spacing w:after="240"/>
        <w:jc w:val="center"/>
      </w:pPr>
      <w:r>
        <w:rPr>
          <w:noProof/>
        </w:rPr>
        <w:drawing>
          <wp:inline distT="0" distB="0" distL="0" distR="0" wp14:anchorId="513BE910" wp14:editId="0268FC1C">
            <wp:extent cx="5029200" cy="31193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ss_test.png"/>
                    <pic:cNvPicPr/>
                  </pic:nvPicPr>
                  <pic:blipFill>
                    <a:blip r:embed="rId11"/>
                    <a:stretch>
                      <a:fillRect/>
                    </a:stretch>
                  </pic:blipFill>
                  <pic:spPr>
                    <a:xfrm>
                      <a:off x="0" y="0"/>
                      <a:ext cx="5029200" cy="3119377"/>
                    </a:xfrm>
                    <a:prstGeom prst="rect">
                      <a:avLst/>
                    </a:prstGeom>
                  </pic:spPr>
                </pic:pic>
              </a:graphicData>
            </a:graphic>
          </wp:inline>
        </w:drawing>
      </w:r>
      <w:r>
        <w:rPr>
          <w:rFonts w:ascii="Arial" w:hAnsi="Arial"/>
          <w:i/>
          <w:color w:val="64748B"/>
          <w:sz w:val="18"/>
        </w:rPr>
        <w:br/>
        <w:t>Figure 4: Post-purchase monthly cash flow allocation showing comfortable surplus levels.</w:t>
      </w:r>
    </w:p>
    <w:p w14:paraId="7BE6ED53" w14:textId="2FAD37E9" w:rsidR="003530EC" w:rsidRDefault="000373E1">
      <w:pPr>
        <w:spacing w:after="240"/>
      </w:pPr>
      <w:r w:rsidRPr="000373E1">
        <w:rPr>
          <w:rFonts w:ascii="Arial" w:hAnsi="Arial"/>
          <w:b/>
          <w:bCs/>
          <w:i/>
          <w:color w:val="333333"/>
          <w:sz w:val="21"/>
        </w:rPr>
        <w:t>Insight:</w:t>
      </w:r>
      <w:r>
        <w:rPr>
          <w:rFonts w:ascii="Arial" w:hAnsi="Arial"/>
          <w:i/>
          <w:color w:val="333333"/>
          <w:sz w:val="21"/>
        </w:rPr>
        <w:t xml:space="preserve"> In </w:t>
      </w:r>
      <w:r w:rsidR="00000000">
        <w:rPr>
          <w:rFonts w:ascii="Arial" w:hAnsi="Arial"/>
          <w:i/>
          <w:color w:val="333333"/>
          <w:sz w:val="21"/>
        </w:rPr>
        <w:t>the worst-case scenario</w:t>
      </w:r>
      <w:r>
        <w:rPr>
          <w:rFonts w:ascii="Arial" w:hAnsi="Arial"/>
          <w:i/>
          <w:color w:val="333333"/>
          <w:sz w:val="21"/>
        </w:rPr>
        <w:t xml:space="preserve"> </w:t>
      </w:r>
      <w:r w:rsidR="00000000">
        <w:rPr>
          <w:rFonts w:ascii="Arial" w:hAnsi="Arial"/>
          <w:i/>
          <w:color w:val="333333"/>
          <w:sz w:val="21"/>
        </w:rPr>
        <w:t>where interest rates rise to 8.00% and my general living expenses double to $3,000 a month after moving out</w:t>
      </w:r>
      <w:r>
        <w:rPr>
          <w:rFonts w:ascii="Arial" w:hAnsi="Arial"/>
          <w:i/>
          <w:color w:val="333333"/>
          <w:sz w:val="21"/>
        </w:rPr>
        <w:t xml:space="preserve">, </w:t>
      </w:r>
      <w:r w:rsidR="00000000">
        <w:rPr>
          <w:rFonts w:ascii="Arial" w:hAnsi="Arial"/>
          <w:i/>
          <w:color w:val="333333"/>
          <w:sz w:val="21"/>
        </w:rPr>
        <w:t xml:space="preserve">my monthly cash flow remains positive by $1,607.78. </w:t>
      </w:r>
      <w:r>
        <w:rPr>
          <w:rFonts w:ascii="Arial" w:hAnsi="Arial"/>
          <w:i/>
          <w:color w:val="333333"/>
          <w:sz w:val="21"/>
        </w:rPr>
        <w:t>Under</w:t>
      </w:r>
      <w:r w:rsidR="00000000">
        <w:rPr>
          <w:rFonts w:ascii="Arial" w:hAnsi="Arial"/>
          <w:i/>
          <w:color w:val="333333"/>
          <w:sz w:val="21"/>
        </w:rPr>
        <w:t xml:space="preserve"> all circumstances my $50,000 safety buffer will remain entirely untouched.</w:t>
      </w:r>
    </w:p>
    <w:p w14:paraId="6D018025" w14:textId="77777777" w:rsidR="000373E1" w:rsidRDefault="00000000">
      <w:pPr>
        <w:spacing w:after="120"/>
        <w:rPr>
          <w:rFonts w:ascii="Arial" w:hAnsi="Arial"/>
          <w:color w:val="333333"/>
          <w:sz w:val="21"/>
        </w:rPr>
      </w:pPr>
      <w:r w:rsidRPr="000373E1">
        <w:rPr>
          <w:rFonts w:ascii="Arial" w:hAnsi="Arial"/>
          <w:b/>
          <w:bCs/>
          <w:color w:val="333333"/>
          <w:sz w:val="21"/>
        </w:rPr>
        <w:t>Borrowing Conservatism (Debt-to-Income Ratio):</w:t>
      </w:r>
      <w:r>
        <w:rPr>
          <w:rFonts w:ascii="Arial" w:hAnsi="Arial"/>
          <w:color w:val="333333"/>
          <w:sz w:val="21"/>
        </w:rPr>
        <w:t xml:space="preserve"> To further mitigate risk, my borrowing profile is structured to remain highly conservative. A key metric used by the Australian Prudential Regulation </w:t>
      </w:r>
      <w:r>
        <w:rPr>
          <w:rFonts w:ascii="Arial" w:hAnsi="Arial"/>
          <w:color w:val="333333"/>
          <w:sz w:val="21"/>
        </w:rPr>
        <w:lastRenderedPageBreak/>
        <w:t xml:space="preserve">Authority (APRA) and major lenders to evaluate debt risk is the Debt-to-Income (DTI) ratio, calculated using the standard formula: </w:t>
      </w:r>
      <w:r w:rsidRPr="000373E1">
        <w:rPr>
          <w:rFonts w:ascii="Arial" w:hAnsi="Arial"/>
          <w:i/>
          <w:iCs/>
          <w:color w:val="333333"/>
          <w:sz w:val="21"/>
        </w:rPr>
        <w:t>DTI = Total Credit Limit of All Debts / Gross Annual Income.</w:t>
      </w:r>
      <w:r>
        <w:rPr>
          <w:rFonts w:ascii="Arial" w:hAnsi="Arial"/>
          <w:color w:val="333333"/>
          <w:sz w:val="21"/>
        </w:rPr>
        <w:t xml:space="preserve"> </w:t>
      </w:r>
    </w:p>
    <w:p w14:paraId="652B76D8" w14:textId="7C3569A9" w:rsidR="003530EC" w:rsidRDefault="00000000">
      <w:pPr>
        <w:spacing w:after="120"/>
      </w:pPr>
      <w:r>
        <w:rPr>
          <w:rFonts w:ascii="Arial" w:hAnsi="Arial"/>
          <w:color w:val="333333"/>
          <w:sz w:val="21"/>
        </w:rPr>
        <w:t xml:space="preserve">Under this formula, a DTI below </w:t>
      </w:r>
      <w:r w:rsidR="000373E1">
        <w:rPr>
          <w:rFonts w:ascii="Arial" w:hAnsi="Arial"/>
          <w:color w:val="333333"/>
          <w:sz w:val="21"/>
        </w:rPr>
        <w:t>5</w:t>
      </w:r>
      <w:r>
        <w:rPr>
          <w:rFonts w:ascii="Arial" w:hAnsi="Arial"/>
          <w:color w:val="333333"/>
          <w:sz w:val="21"/>
        </w:rPr>
        <w:t xml:space="preserve">.0x is classified as </w:t>
      </w:r>
      <w:proofErr w:type="gramStart"/>
      <w:r>
        <w:rPr>
          <w:rFonts w:ascii="Arial" w:hAnsi="Arial"/>
          <w:color w:val="333333"/>
          <w:sz w:val="21"/>
        </w:rPr>
        <w:t>low-risk</w:t>
      </w:r>
      <w:proofErr w:type="gramEnd"/>
      <w:r>
        <w:rPr>
          <w:rFonts w:ascii="Arial" w:hAnsi="Arial"/>
          <w:color w:val="333333"/>
          <w:sz w:val="21"/>
        </w:rPr>
        <w:t xml:space="preserve">. Under the 20% deposit model (loan of $600,000), my DTI is 3.74x ($600,000 mortgage / $160,430 gross base salary). Under the 10% deposit model (loan of $675,000), my DTI is 4.21x ($675,000 mortgage / $160,430 gross base salary). Both scenarios sit substantially below the APRA 6.0x </w:t>
      </w:r>
      <w:r w:rsidR="000373E1">
        <w:rPr>
          <w:rFonts w:ascii="Arial" w:hAnsi="Arial"/>
          <w:color w:val="333333"/>
          <w:sz w:val="21"/>
        </w:rPr>
        <w:t>high-</w:t>
      </w:r>
      <w:r>
        <w:rPr>
          <w:rFonts w:ascii="Arial" w:hAnsi="Arial"/>
          <w:color w:val="333333"/>
          <w:sz w:val="21"/>
        </w:rPr>
        <w:t xml:space="preserve">risk threshold, </w:t>
      </w:r>
      <w:r w:rsidR="000373E1">
        <w:rPr>
          <w:rFonts w:ascii="Arial" w:hAnsi="Arial"/>
          <w:color w:val="333333"/>
          <w:sz w:val="21"/>
        </w:rPr>
        <w:t>which is considered a</w:t>
      </w:r>
      <w:r>
        <w:rPr>
          <w:rFonts w:ascii="Arial" w:hAnsi="Arial"/>
          <w:color w:val="333333"/>
          <w:sz w:val="21"/>
        </w:rPr>
        <w:t xml:space="preserve"> safe borrowing margin. </w:t>
      </w:r>
      <w:r w:rsidRPr="000373E1">
        <w:rPr>
          <w:rFonts w:ascii="Arial" w:hAnsi="Arial"/>
          <w:i/>
          <w:iCs/>
          <w:color w:val="333333"/>
          <w:sz w:val="21"/>
        </w:rPr>
        <w:t>Sources: APRA Macroprudential Policy Framework and APRA Credit Risk Guidelines (https://www.apra.gov.au/key-financial-indicators).</w:t>
      </w:r>
    </w:p>
    <w:p w14:paraId="4F7B39AC" w14:textId="77777777" w:rsidR="003530EC" w:rsidRDefault="00000000">
      <w:pPr>
        <w:keepNext/>
        <w:spacing w:before="240" w:after="80"/>
      </w:pPr>
      <w:r>
        <w:rPr>
          <w:rFonts w:ascii="Arial" w:hAnsi="Arial"/>
          <w:b/>
          <w:color w:val="0F766E"/>
          <w:sz w:val="24"/>
        </w:rPr>
        <w:t>6.1 Post-Purchase 10-Year Wealth &amp; Asset Growth Projection</w:t>
      </w:r>
    </w:p>
    <w:p w14:paraId="45606954" w14:textId="311ECEBC" w:rsidR="003530EC" w:rsidRDefault="00000000">
      <w:pPr>
        <w:spacing w:after="120"/>
      </w:pPr>
      <w:r>
        <w:rPr>
          <w:rFonts w:ascii="Arial" w:hAnsi="Arial"/>
          <w:color w:val="333333"/>
          <w:sz w:val="21"/>
        </w:rPr>
        <w:t>To evaluate</w:t>
      </w:r>
      <w:r w:rsidR="005F5A77">
        <w:rPr>
          <w:rFonts w:ascii="Arial" w:hAnsi="Arial"/>
          <w:color w:val="333333"/>
          <w:sz w:val="21"/>
        </w:rPr>
        <w:t xml:space="preserve"> l</w:t>
      </w:r>
      <w:r>
        <w:rPr>
          <w:rFonts w:ascii="Arial" w:hAnsi="Arial"/>
          <w:color w:val="333333"/>
          <w:sz w:val="21"/>
        </w:rPr>
        <w:t>ong-term financial trajectory post-purchase, a monthly balance sheet simulation has been modeled over a 10-year horizon. This model assumes that my monthly surplus cash flow is placed entirely into a mortgage offset account, which reduces interest charges and accelerates principal reduction. The modeling compares the Base Case against the severe Stress Test Case under the following compounding settings:</w:t>
      </w:r>
    </w:p>
    <w:p w14:paraId="0E17FF70" w14:textId="77777777" w:rsidR="005F5A77" w:rsidRPr="005F5A77" w:rsidRDefault="00000000">
      <w:pPr>
        <w:pStyle w:val="ListBullet"/>
        <w:spacing w:after="60"/>
      </w:pPr>
      <w:r>
        <w:rPr>
          <w:rFonts w:ascii="Arial" w:hAnsi="Arial"/>
          <w:b/>
          <w:color w:val="333333"/>
          <w:sz w:val="21"/>
        </w:rPr>
        <w:t xml:space="preserve">Base Case Growth Rates: </w:t>
      </w:r>
    </w:p>
    <w:p w14:paraId="5EDDF955" w14:textId="330E04E0" w:rsidR="005F5A77" w:rsidRPr="005F5A77" w:rsidRDefault="00000000" w:rsidP="005F5A77">
      <w:pPr>
        <w:pStyle w:val="ListBullet"/>
        <w:tabs>
          <w:tab w:val="clear" w:pos="360"/>
          <w:tab w:val="num" w:pos="720"/>
        </w:tabs>
        <w:spacing w:after="60"/>
        <w:ind w:left="720"/>
      </w:pPr>
      <w:r>
        <w:rPr>
          <w:rFonts w:ascii="Arial" w:hAnsi="Arial"/>
          <w:color w:val="333333"/>
          <w:sz w:val="21"/>
        </w:rPr>
        <w:t>Property capital growth at 3.0% p.a.</w:t>
      </w:r>
    </w:p>
    <w:p w14:paraId="66C3A1C2" w14:textId="49CBF286" w:rsidR="005F5A77" w:rsidRPr="005F5A77" w:rsidRDefault="00000000" w:rsidP="005F5A77">
      <w:pPr>
        <w:pStyle w:val="ListBullet"/>
        <w:tabs>
          <w:tab w:val="clear" w:pos="360"/>
          <w:tab w:val="num" w:pos="720"/>
        </w:tabs>
        <w:spacing w:after="60"/>
        <w:ind w:left="720"/>
      </w:pPr>
      <w:r>
        <w:rPr>
          <w:rFonts w:ascii="Arial" w:hAnsi="Arial"/>
          <w:color w:val="333333"/>
          <w:sz w:val="21"/>
        </w:rPr>
        <w:t>Superannuation at 6.5% p.a.</w:t>
      </w:r>
    </w:p>
    <w:p w14:paraId="7449FB1D" w14:textId="77777777" w:rsidR="005F5A77" w:rsidRPr="005F5A77" w:rsidRDefault="00000000" w:rsidP="005F5A77">
      <w:pPr>
        <w:pStyle w:val="ListBullet"/>
        <w:tabs>
          <w:tab w:val="clear" w:pos="360"/>
          <w:tab w:val="num" w:pos="720"/>
        </w:tabs>
        <w:spacing w:after="60"/>
        <w:ind w:left="720"/>
      </w:pPr>
      <w:r>
        <w:rPr>
          <w:rFonts w:ascii="Arial" w:hAnsi="Arial"/>
          <w:color w:val="333333"/>
          <w:sz w:val="21"/>
        </w:rPr>
        <w:t xml:space="preserve">Managed Funds at 7.0% p.a. </w:t>
      </w:r>
    </w:p>
    <w:p w14:paraId="6986DFE0" w14:textId="77777777" w:rsidR="005F5A77" w:rsidRPr="005F5A77" w:rsidRDefault="00000000" w:rsidP="005F5A77">
      <w:pPr>
        <w:pStyle w:val="ListBullet"/>
        <w:tabs>
          <w:tab w:val="clear" w:pos="360"/>
          <w:tab w:val="num" w:pos="720"/>
        </w:tabs>
        <w:spacing w:after="60"/>
        <w:ind w:left="720"/>
      </w:pPr>
      <w:r>
        <w:rPr>
          <w:rFonts w:ascii="Arial" w:hAnsi="Arial"/>
          <w:color w:val="333333"/>
          <w:sz w:val="21"/>
        </w:rPr>
        <w:t>Surplus cash flow of $4,013.06/</w:t>
      </w:r>
      <w:proofErr w:type="spellStart"/>
      <w:r>
        <w:rPr>
          <w:rFonts w:ascii="Arial" w:hAnsi="Arial"/>
          <w:color w:val="333333"/>
          <w:sz w:val="21"/>
        </w:rPr>
        <w:t>mo</w:t>
      </w:r>
      <w:proofErr w:type="spellEnd"/>
      <w:r>
        <w:rPr>
          <w:rFonts w:ascii="Arial" w:hAnsi="Arial"/>
          <w:color w:val="333333"/>
          <w:sz w:val="21"/>
        </w:rPr>
        <w:t xml:space="preserve"> is deposited into the offset account (effectively earning 6.00% tax-free interest). </w:t>
      </w:r>
    </w:p>
    <w:p w14:paraId="1EB5A04C" w14:textId="72D747F7" w:rsidR="003530EC" w:rsidRDefault="00000000" w:rsidP="00AF1252">
      <w:pPr>
        <w:pStyle w:val="ListBullet"/>
        <w:tabs>
          <w:tab w:val="clear" w:pos="360"/>
          <w:tab w:val="num" w:pos="1080"/>
        </w:tabs>
        <w:spacing w:after="60"/>
        <w:ind w:left="1080"/>
      </w:pPr>
      <w:r>
        <w:rPr>
          <w:rFonts w:ascii="Arial" w:hAnsi="Arial"/>
          <w:color w:val="333333"/>
          <w:sz w:val="21"/>
        </w:rPr>
        <w:t xml:space="preserve">Note: The 3.0% p.a. property growth is </w:t>
      </w:r>
      <w:r w:rsidR="005F5A77">
        <w:rPr>
          <w:rFonts w:ascii="Arial" w:hAnsi="Arial"/>
          <w:color w:val="333333"/>
          <w:sz w:val="21"/>
        </w:rPr>
        <w:t>a conservative</w:t>
      </w:r>
      <w:r>
        <w:rPr>
          <w:rFonts w:ascii="Arial" w:hAnsi="Arial"/>
          <w:color w:val="333333"/>
          <w:sz w:val="21"/>
        </w:rPr>
        <w:t xml:space="preserve"> unit-market baseline representing the Castle Hill Showground apartment corridor. While the overall suburb median is $1,105,000 (reflecting a general 13.9% growth rate), the specific segments for Castle Hill units show a median price of $687,050 for 1-bedroom units and $965,000 for 2-bedroom units. Performance is highly segmente</w:t>
      </w:r>
      <w:r w:rsidR="00AF1252">
        <w:rPr>
          <w:rFonts w:ascii="Arial" w:hAnsi="Arial"/>
          <w:color w:val="333333"/>
          <w:sz w:val="21"/>
        </w:rPr>
        <w:t>d,</w:t>
      </w:r>
      <w:r>
        <w:rPr>
          <w:rFonts w:ascii="Arial" w:hAnsi="Arial"/>
          <w:color w:val="333333"/>
          <w:sz w:val="21"/>
        </w:rPr>
        <w:t xml:space="preserve"> high-supply cycles </w:t>
      </w:r>
      <w:r w:rsidR="00AF1252">
        <w:rPr>
          <w:rFonts w:ascii="Arial" w:hAnsi="Arial"/>
          <w:color w:val="333333"/>
          <w:sz w:val="21"/>
        </w:rPr>
        <w:t>saw</w:t>
      </w:r>
      <w:r>
        <w:rPr>
          <w:rFonts w:ascii="Arial" w:hAnsi="Arial"/>
          <w:color w:val="333333"/>
          <w:sz w:val="21"/>
        </w:rPr>
        <w:t xml:space="preserve"> 2-bedroom growth flatten to 0.4% p.a. To build a defensive strategy, we model a conservative 3.0% p.a. growth baseline. </w:t>
      </w:r>
      <w:r w:rsidRPr="00AF1252">
        <w:rPr>
          <w:rFonts w:ascii="Arial" w:hAnsi="Arial"/>
          <w:i/>
          <w:iCs/>
          <w:color w:val="333333"/>
          <w:sz w:val="21"/>
        </w:rPr>
        <w:t>Source: realestate.com.au Castle Hill Suburb Profile</w:t>
      </w:r>
      <w:r w:rsidR="00AF1252" w:rsidRPr="00AF1252">
        <w:rPr>
          <w:rFonts w:ascii="Arial" w:hAnsi="Arial"/>
          <w:i/>
          <w:iCs/>
          <w:color w:val="333333"/>
          <w:sz w:val="21"/>
        </w:rPr>
        <w:t xml:space="preserve"> </w:t>
      </w:r>
      <w:r w:rsidRPr="00AF1252">
        <w:rPr>
          <w:rFonts w:ascii="Arial" w:hAnsi="Arial"/>
          <w:i/>
          <w:iCs/>
          <w:color w:val="333333"/>
          <w:sz w:val="21"/>
        </w:rPr>
        <w:t>(https://www.realestate.com.au/nsw/castle-hill-2154/)</w:t>
      </w:r>
    </w:p>
    <w:p w14:paraId="30B0E851" w14:textId="77777777" w:rsidR="00AF1252" w:rsidRPr="00AF1252" w:rsidRDefault="00000000">
      <w:pPr>
        <w:pStyle w:val="ListBullet"/>
        <w:spacing w:after="240"/>
      </w:pPr>
      <w:r>
        <w:rPr>
          <w:rFonts w:ascii="Arial" w:hAnsi="Arial"/>
          <w:b/>
          <w:color w:val="333333"/>
          <w:sz w:val="21"/>
        </w:rPr>
        <w:t xml:space="preserve">Stress Test Case Growth Rates: </w:t>
      </w:r>
    </w:p>
    <w:p w14:paraId="26ECDD8B" w14:textId="77777777" w:rsidR="00AF1252" w:rsidRPr="00AF1252" w:rsidRDefault="00000000" w:rsidP="00AF1252">
      <w:pPr>
        <w:pStyle w:val="ListBullet"/>
        <w:tabs>
          <w:tab w:val="clear" w:pos="360"/>
          <w:tab w:val="num" w:pos="720"/>
        </w:tabs>
        <w:spacing w:after="240"/>
        <w:ind w:left="720"/>
      </w:pPr>
      <w:r>
        <w:rPr>
          <w:rFonts w:ascii="Arial" w:hAnsi="Arial"/>
          <w:color w:val="333333"/>
          <w:sz w:val="21"/>
        </w:rPr>
        <w:t>Property capital growth at 1.0% p.a.</w:t>
      </w:r>
    </w:p>
    <w:p w14:paraId="309702A4" w14:textId="77777777" w:rsidR="00AF1252" w:rsidRPr="00AF1252" w:rsidRDefault="00000000" w:rsidP="00AF1252">
      <w:pPr>
        <w:pStyle w:val="ListBullet"/>
        <w:tabs>
          <w:tab w:val="clear" w:pos="360"/>
          <w:tab w:val="num" w:pos="720"/>
        </w:tabs>
        <w:spacing w:after="240"/>
        <w:ind w:left="720"/>
      </w:pPr>
      <w:r>
        <w:rPr>
          <w:rFonts w:ascii="Arial" w:hAnsi="Arial"/>
          <w:color w:val="333333"/>
          <w:sz w:val="21"/>
        </w:rPr>
        <w:t>Superannuation at 5.5% p.a.</w:t>
      </w:r>
    </w:p>
    <w:p w14:paraId="2447A411" w14:textId="77777777" w:rsidR="00AF1252" w:rsidRPr="00AF1252" w:rsidRDefault="00000000" w:rsidP="00AF1252">
      <w:pPr>
        <w:pStyle w:val="ListBullet"/>
        <w:tabs>
          <w:tab w:val="clear" w:pos="360"/>
          <w:tab w:val="num" w:pos="720"/>
        </w:tabs>
        <w:spacing w:after="240"/>
        <w:ind w:left="720"/>
      </w:pPr>
      <w:r>
        <w:rPr>
          <w:rFonts w:ascii="Arial" w:hAnsi="Arial"/>
          <w:color w:val="333333"/>
          <w:sz w:val="21"/>
        </w:rPr>
        <w:t xml:space="preserve">Managed Funds at 6.0% p.a. </w:t>
      </w:r>
    </w:p>
    <w:p w14:paraId="785FC51C" w14:textId="2C4D15BC" w:rsidR="00AF1252" w:rsidRPr="00AF1252" w:rsidRDefault="00000000" w:rsidP="00AF1252">
      <w:pPr>
        <w:pStyle w:val="ListBullet"/>
        <w:tabs>
          <w:tab w:val="clear" w:pos="360"/>
          <w:tab w:val="num" w:pos="720"/>
        </w:tabs>
        <w:spacing w:after="240"/>
        <w:ind w:left="720"/>
      </w:pPr>
      <w:r>
        <w:rPr>
          <w:rFonts w:ascii="Arial" w:hAnsi="Arial"/>
          <w:color w:val="333333"/>
          <w:sz w:val="21"/>
        </w:rPr>
        <w:t xml:space="preserve">Surplus cash flow is limited to $1,607.78/mo deposited into the offset account (earning 8.00% interest). </w:t>
      </w:r>
    </w:p>
    <w:p w14:paraId="38D342DA" w14:textId="14590784" w:rsidR="003530EC" w:rsidRPr="00AF1252" w:rsidRDefault="00000000" w:rsidP="00AF1252">
      <w:pPr>
        <w:pStyle w:val="ListBullet"/>
        <w:tabs>
          <w:tab w:val="clear" w:pos="360"/>
          <w:tab w:val="num" w:pos="1080"/>
        </w:tabs>
        <w:spacing w:after="240"/>
        <w:ind w:left="1080"/>
      </w:pPr>
      <w:r>
        <w:rPr>
          <w:rFonts w:ascii="Arial" w:hAnsi="Arial"/>
          <w:color w:val="333333"/>
          <w:sz w:val="21"/>
        </w:rPr>
        <w:t xml:space="preserve">Note: The 1.0% p.a. property growth represents a flat-market stress test where the apartment experiences </w:t>
      </w:r>
      <w:r w:rsidR="00AF1252">
        <w:rPr>
          <w:rFonts w:ascii="Arial" w:hAnsi="Arial"/>
          <w:color w:val="333333"/>
          <w:sz w:val="21"/>
        </w:rPr>
        <w:t xml:space="preserve">almost </w:t>
      </w:r>
      <w:r>
        <w:rPr>
          <w:rFonts w:ascii="Arial" w:hAnsi="Arial"/>
          <w:color w:val="333333"/>
          <w:sz w:val="21"/>
        </w:rPr>
        <w:t>zero capital gains over 10 years</w:t>
      </w:r>
      <w:r w:rsidR="00AF1252">
        <w:rPr>
          <w:rFonts w:ascii="Arial" w:hAnsi="Arial"/>
          <w:color w:val="333333"/>
          <w:sz w:val="21"/>
        </w:rPr>
        <w:t>.</w:t>
      </w:r>
    </w:p>
    <w:p w14:paraId="376E196B" w14:textId="77777777" w:rsidR="00AF1252" w:rsidRDefault="00AF1252" w:rsidP="00AF1252">
      <w:pPr>
        <w:pStyle w:val="ListBullet"/>
        <w:numPr>
          <w:ilvl w:val="0"/>
          <w:numId w:val="0"/>
        </w:numPr>
        <w:spacing w:after="240"/>
        <w:ind w:left="360" w:hanging="360"/>
        <w:rPr>
          <w:rFonts w:ascii="Arial" w:hAnsi="Arial"/>
          <w:color w:val="333333"/>
          <w:sz w:val="21"/>
        </w:rPr>
      </w:pPr>
    </w:p>
    <w:p w14:paraId="31F95FB9" w14:textId="77777777" w:rsidR="00AF1252" w:rsidRDefault="00AF1252" w:rsidP="00AF1252">
      <w:pPr>
        <w:pStyle w:val="ListBullet"/>
        <w:numPr>
          <w:ilvl w:val="0"/>
          <w:numId w:val="0"/>
        </w:numPr>
        <w:spacing w:after="240"/>
        <w:ind w:left="360" w:hanging="360"/>
        <w:rPr>
          <w:rFonts w:ascii="Arial" w:hAnsi="Arial"/>
          <w:color w:val="333333"/>
          <w:sz w:val="21"/>
        </w:rPr>
      </w:pPr>
    </w:p>
    <w:p w14:paraId="7AF54DEE" w14:textId="77777777" w:rsidR="00AF1252" w:rsidRDefault="00AF1252" w:rsidP="00AF1252">
      <w:pPr>
        <w:pStyle w:val="ListBullet"/>
        <w:numPr>
          <w:ilvl w:val="0"/>
          <w:numId w:val="0"/>
        </w:numPr>
        <w:spacing w:after="240"/>
        <w:ind w:left="360" w:hanging="360"/>
        <w:rPr>
          <w:rFonts w:ascii="Arial" w:hAnsi="Arial"/>
          <w:color w:val="333333"/>
          <w:sz w:val="21"/>
        </w:rPr>
      </w:pPr>
    </w:p>
    <w:p w14:paraId="4E400E62" w14:textId="77777777" w:rsidR="00AF1252" w:rsidRDefault="00AF1252" w:rsidP="00AF1252">
      <w:pPr>
        <w:pStyle w:val="ListBullet"/>
        <w:numPr>
          <w:ilvl w:val="0"/>
          <w:numId w:val="0"/>
        </w:numPr>
        <w:spacing w:after="240"/>
        <w:ind w:left="360" w:hanging="360"/>
      </w:pPr>
    </w:p>
    <w:p w14:paraId="1BB8645D" w14:textId="77777777" w:rsidR="003530EC" w:rsidRDefault="00000000">
      <w:pPr>
        <w:keepNext/>
        <w:spacing w:before="240" w:after="80"/>
      </w:pPr>
      <w:r>
        <w:rPr>
          <w:rFonts w:ascii="Arial" w:hAnsi="Arial"/>
          <w:b/>
          <w:color w:val="0F766E"/>
          <w:sz w:val="24"/>
        </w:rPr>
        <w:lastRenderedPageBreak/>
        <w:t>6.1.1 The Mortgage Offset Account Strategy &amp; Mechanics</w:t>
      </w:r>
    </w:p>
    <w:p w14:paraId="0BEEFBFC" w14:textId="3E006916" w:rsidR="003530EC" w:rsidRDefault="00AF1252">
      <w:pPr>
        <w:spacing w:after="120"/>
      </w:pPr>
      <w:r>
        <w:rPr>
          <w:rFonts w:ascii="Arial" w:hAnsi="Arial"/>
          <w:color w:val="333333"/>
          <w:sz w:val="21"/>
        </w:rPr>
        <w:t>The post</w:t>
      </w:r>
      <w:r w:rsidR="00000000">
        <w:rPr>
          <w:rFonts w:ascii="Arial" w:hAnsi="Arial"/>
          <w:color w:val="333333"/>
          <w:sz w:val="21"/>
        </w:rPr>
        <w:t xml:space="preserve">-purchase strategy is the </w:t>
      </w:r>
      <w:r>
        <w:rPr>
          <w:rFonts w:ascii="Arial" w:hAnsi="Arial"/>
          <w:color w:val="333333"/>
          <w:sz w:val="21"/>
        </w:rPr>
        <w:t>use</w:t>
      </w:r>
      <w:r w:rsidR="00000000">
        <w:rPr>
          <w:rFonts w:ascii="Arial" w:hAnsi="Arial"/>
          <w:color w:val="333333"/>
          <w:sz w:val="21"/>
        </w:rPr>
        <w:t xml:space="preserve"> of a linked Mortgage Offset Account. Rather than placing surplus savings into standard savings accounts (where interest is low and taxable), all available funds </w:t>
      </w:r>
      <w:proofErr w:type="gramStart"/>
      <w:r>
        <w:rPr>
          <w:rFonts w:ascii="Arial" w:hAnsi="Arial"/>
          <w:color w:val="333333"/>
          <w:sz w:val="21"/>
        </w:rPr>
        <w:t>goes</w:t>
      </w:r>
      <w:proofErr w:type="gramEnd"/>
      <w:r>
        <w:rPr>
          <w:rFonts w:ascii="Arial" w:hAnsi="Arial"/>
          <w:color w:val="333333"/>
          <w:sz w:val="21"/>
        </w:rPr>
        <w:t xml:space="preserve"> </w:t>
      </w:r>
      <w:r w:rsidR="00000000">
        <w:rPr>
          <w:rFonts w:ascii="Arial" w:hAnsi="Arial"/>
          <w:color w:val="333333"/>
          <w:sz w:val="21"/>
        </w:rPr>
        <w:t>to this offset account. The mechanics of this strategy are structured as follows:</w:t>
      </w:r>
    </w:p>
    <w:p w14:paraId="6A45AEDD" w14:textId="6FE911F2" w:rsidR="003530EC" w:rsidRDefault="00000000">
      <w:pPr>
        <w:pStyle w:val="ListBullet"/>
        <w:spacing w:after="60"/>
      </w:pPr>
      <w:r>
        <w:rPr>
          <w:rFonts w:ascii="Arial" w:hAnsi="Arial"/>
          <w:b/>
          <w:color w:val="333333"/>
          <w:sz w:val="21"/>
        </w:rPr>
        <w:t xml:space="preserve">Input Structure: </w:t>
      </w:r>
      <w:r>
        <w:rPr>
          <w:rFonts w:ascii="Arial" w:hAnsi="Arial"/>
          <w:color w:val="333333"/>
          <w:sz w:val="21"/>
        </w:rPr>
        <w:t xml:space="preserve">The account starts with the $50,000 cash buffer post-purchase. </w:t>
      </w:r>
      <w:r w:rsidR="00AF1252">
        <w:rPr>
          <w:rFonts w:ascii="Arial" w:hAnsi="Arial"/>
          <w:color w:val="333333"/>
          <w:sz w:val="21"/>
        </w:rPr>
        <w:t>Fo</w:t>
      </w:r>
      <w:r>
        <w:rPr>
          <w:rFonts w:ascii="Arial" w:hAnsi="Arial"/>
          <w:color w:val="333333"/>
          <w:sz w:val="21"/>
        </w:rPr>
        <w:t xml:space="preserve">rtnightly salary will </w:t>
      </w:r>
      <w:r w:rsidR="00AF1252">
        <w:rPr>
          <w:rFonts w:ascii="Arial" w:hAnsi="Arial"/>
          <w:color w:val="333333"/>
          <w:sz w:val="21"/>
        </w:rPr>
        <w:t xml:space="preserve">go </w:t>
      </w:r>
      <w:r>
        <w:rPr>
          <w:rFonts w:ascii="Arial" w:hAnsi="Arial"/>
          <w:color w:val="333333"/>
          <w:sz w:val="21"/>
        </w:rPr>
        <w:t>directly to this account, and all ongoing expenses will be drawn from it, keeping the net balance maximized. The monthly surplus cash flow (Base Case: $4,013.06/mo; Stress Case: $1,607.78/mo) will accumulate here.</w:t>
      </w:r>
    </w:p>
    <w:p w14:paraId="0E523698" w14:textId="5B626281" w:rsidR="003530EC" w:rsidRDefault="00000000">
      <w:pPr>
        <w:pStyle w:val="ListBullet"/>
        <w:spacing w:after="60"/>
      </w:pPr>
      <w:r>
        <w:rPr>
          <w:rFonts w:ascii="Arial" w:hAnsi="Arial"/>
          <w:b/>
          <w:color w:val="333333"/>
          <w:sz w:val="21"/>
        </w:rPr>
        <w:t xml:space="preserve">Impact on Interest Calculations: </w:t>
      </w:r>
      <w:r>
        <w:rPr>
          <w:rFonts w:ascii="Arial" w:hAnsi="Arial"/>
          <w:color w:val="333333"/>
          <w:sz w:val="21"/>
        </w:rPr>
        <w:t xml:space="preserve">Interest is only calculated on the net difference between the loan balance and the offset balance: Net Interest Owed = (Loan Balance - Offset Cash) * Monthly Interest Rate. </w:t>
      </w:r>
    </w:p>
    <w:p w14:paraId="030524B0" w14:textId="5D102DB7" w:rsidR="003530EC" w:rsidRDefault="00000000">
      <w:pPr>
        <w:pStyle w:val="ListBullet"/>
        <w:spacing w:after="240"/>
      </w:pPr>
      <w:r>
        <w:rPr>
          <w:rFonts w:ascii="Arial" w:hAnsi="Arial"/>
          <w:b/>
          <w:color w:val="333333"/>
          <w:sz w:val="21"/>
        </w:rPr>
        <w:t xml:space="preserve">Acceleration of Principal Reduction: </w:t>
      </w:r>
      <w:r>
        <w:rPr>
          <w:rFonts w:ascii="Arial" w:hAnsi="Arial"/>
          <w:color w:val="333333"/>
          <w:sz w:val="21"/>
        </w:rPr>
        <w:t>While the bank's scheduled monthly repayment remains fixed, the portion of that repayment going to pay interest is reduced by the offset balance. The saved interest is automatically applied to reduce the loan principal. This creates an accelerating compounding loop</w:t>
      </w:r>
      <w:r w:rsidR="00AF1252">
        <w:rPr>
          <w:rFonts w:ascii="Arial" w:hAnsi="Arial"/>
          <w:color w:val="333333"/>
          <w:sz w:val="21"/>
        </w:rPr>
        <w:t xml:space="preserve"> and</w:t>
      </w:r>
      <w:r>
        <w:rPr>
          <w:rFonts w:ascii="Arial" w:hAnsi="Arial"/>
          <w:color w:val="333333"/>
          <w:sz w:val="21"/>
        </w:rPr>
        <w:t xml:space="preserve"> saving</w:t>
      </w:r>
      <w:r w:rsidR="00AF1252">
        <w:rPr>
          <w:rFonts w:ascii="Arial" w:hAnsi="Arial"/>
          <w:color w:val="333333"/>
          <w:sz w:val="21"/>
        </w:rPr>
        <w:t xml:space="preserve"> </w:t>
      </w:r>
      <w:r>
        <w:rPr>
          <w:rFonts w:ascii="Arial" w:hAnsi="Arial"/>
          <w:color w:val="333333"/>
          <w:sz w:val="21"/>
        </w:rPr>
        <w:t>interest costs.</w:t>
      </w:r>
    </w:p>
    <w:p w14:paraId="775D21A4" w14:textId="669C5D55" w:rsidR="003530EC" w:rsidRDefault="00000000">
      <w:pPr>
        <w:spacing w:after="240"/>
      </w:pPr>
      <w:r w:rsidRPr="00AF1252">
        <w:rPr>
          <w:rFonts w:ascii="Arial" w:hAnsi="Arial"/>
          <w:b/>
          <w:bCs/>
          <w:i/>
          <w:color w:val="333333"/>
          <w:sz w:val="21"/>
        </w:rPr>
        <w:t>Offset Account Numerical Example:</w:t>
      </w:r>
      <w:r>
        <w:rPr>
          <w:rFonts w:ascii="Arial" w:hAnsi="Arial"/>
          <w:i/>
          <w:color w:val="333333"/>
          <w:sz w:val="21"/>
        </w:rPr>
        <w:br/>
      </w:r>
      <w:r w:rsidR="00AF1252">
        <w:rPr>
          <w:rFonts w:ascii="Arial" w:hAnsi="Arial"/>
          <w:i/>
          <w:color w:val="333333"/>
          <w:sz w:val="21"/>
        </w:rPr>
        <w:t>A</w:t>
      </w:r>
      <w:r>
        <w:rPr>
          <w:rFonts w:ascii="Arial" w:hAnsi="Arial"/>
          <w:i/>
          <w:color w:val="333333"/>
          <w:sz w:val="21"/>
        </w:rPr>
        <w:t xml:space="preserve"> scenario at Month 1 where the remaining mortgage loan principal is $600,000 and the offset account has accumulated $50,000 in cash. </w:t>
      </w:r>
      <w:r w:rsidR="00AF1252">
        <w:rPr>
          <w:rFonts w:ascii="Arial" w:hAnsi="Arial"/>
          <w:i/>
          <w:color w:val="333333"/>
          <w:sz w:val="21"/>
        </w:rPr>
        <w:t>The</w:t>
      </w:r>
      <w:r>
        <w:rPr>
          <w:rFonts w:ascii="Arial" w:hAnsi="Arial"/>
          <w:i/>
          <w:color w:val="333333"/>
          <w:sz w:val="21"/>
        </w:rPr>
        <w:t xml:space="preserve"> bank calculates interest only on the net balance of $550,000 ($600,000 loan - $50,000 cash). At a 6.00% p.a. interest rate (which is 0.50% monthly), the monthly interest charge is $2,750 instead of $3,000</w:t>
      </w:r>
      <w:r w:rsidR="00AF1252">
        <w:rPr>
          <w:rFonts w:ascii="Arial" w:hAnsi="Arial"/>
          <w:i/>
          <w:color w:val="333333"/>
          <w:sz w:val="21"/>
        </w:rPr>
        <w:t xml:space="preserve">, </w:t>
      </w:r>
      <w:r>
        <w:rPr>
          <w:rFonts w:ascii="Arial" w:hAnsi="Arial"/>
          <w:i/>
          <w:color w:val="333333"/>
          <w:sz w:val="21"/>
        </w:rPr>
        <w:t>saving $250 in interest in the first month. Since the scheduled monthly P&amp;I repayment remains fixed at $3,597.30, the saved $250 is automatically applied to pay down the loan principal. In Month 1, instead of reducing the loan principal by $597.30, the principal is reduced by $847.30 ($597.30 baseline principal repayment + $250 interest savings)</w:t>
      </w:r>
      <w:r w:rsidR="00AF1252">
        <w:rPr>
          <w:rFonts w:ascii="Arial" w:hAnsi="Arial"/>
          <w:i/>
          <w:color w:val="333333"/>
          <w:sz w:val="21"/>
        </w:rPr>
        <w:t>.</w:t>
      </w:r>
    </w:p>
    <w:p w14:paraId="4AE08924" w14:textId="24C0B5B5" w:rsidR="003530EC" w:rsidRDefault="00000000">
      <w:pPr>
        <w:spacing w:after="120"/>
      </w:pPr>
      <w:r w:rsidRPr="00AF1252">
        <w:rPr>
          <w:rFonts w:ascii="Arial" w:hAnsi="Arial"/>
          <w:b/>
          <w:bCs/>
          <w:color w:val="333333"/>
          <w:sz w:val="21"/>
        </w:rPr>
        <w:t>Net Worth i</w:t>
      </w:r>
      <w:r w:rsidR="00AF1252">
        <w:rPr>
          <w:rFonts w:ascii="Arial" w:hAnsi="Arial"/>
          <w:b/>
          <w:bCs/>
          <w:color w:val="333333"/>
          <w:sz w:val="21"/>
        </w:rPr>
        <w:t>n scenario planning is</w:t>
      </w:r>
      <w:r w:rsidRPr="00AF1252">
        <w:rPr>
          <w:rFonts w:ascii="Arial" w:hAnsi="Arial"/>
          <w:b/>
          <w:bCs/>
          <w:color w:val="333333"/>
          <w:sz w:val="21"/>
        </w:rPr>
        <w:t xml:space="preserve"> calculated as:</w:t>
      </w:r>
      <w:r>
        <w:rPr>
          <w:rFonts w:ascii="Arial" w:hAnsi="Arial"/>
          <w:color w:val="333333"/>
          <w:sz w:val="21"/>
        </w:rPr>
        <w:t xml:space="preserve"> </w:t>
      </w:r>
      <w:r w:rsidRPr="00AF1252">
        <w:rPr>
          <w:rFonts w:ascii="Arial" w:hAnsi="Arial"/>
          <w:i/>
          <w:iCs/>
          <w:color w:val="333333"/>
          <w:sz w:val="21"/>
        </w:rPr>
        <w:t>Net Worth = (Property Value + Superannuation + Managed Funds + Offset Cash) - Remaining Loan Balance.</w:t>
      </w:r>
      <w:r>
        <w:rPr>
          <w:rFonts w:ascii="Arial" w:hAnsi="Arial"/>
          <w:color w:val="333333"/>
          <w:sz w:val="21"/>
        </w:rPr>
        <w:t xml:space="preserve"> The </w:t>
      </w:r>
      <w:r w:rsidR="00AF1252">
        <w:rPr>
          <w:rFonts w:ascii="Arial" w:hAnsi="Arial"/>
          <w:color w:val="333333"/>
          <w:sz w:val="21"/>
        </w:rPr>
        <w:t xml:space="preserve">following </w:t>
      </w:r>
      <w:r>
        <w:rPr>
          <w:rFonts w:ascii="Arial" w:hAnsi="Arial"/>
          <w:color w:val="333333"/>
          <w:sz w:val="21"/>
        </w:rPr>
        <w:t>results demonstrate a compounding effect across the three tiers of my wealth:</w:t>
      </w:r>
    </w:p>
    <w:p w14:paraId="22F9FE86" w14:textId="77777777" w:rsidR="003530EC" w:rsidRDefault="00000000">
      <w:pPr>
        <w:keepNext/>
        <w:spacing w:before="240" w:after="80"/>
      </w:pPr>
      <w:r>
        <w:rPr>
          <w:rFonts w:ascii="Arial" w:hAnsi="Arial"/>
          <w:b/>
          <w:color w:val="0F766E"/>
          <w:sz w:val="24"/>
        </w:rPr>
        <w:t>Tier 1: Post-Purchase Cash Flow &amp; Offset Projections (Liquid Cash)</w:t>
      </w:r>
    </w:p>
    <w:p w14:paraId="6BA6295A" w14:textId="77777777" w:rsidR="003530EC" w:rsidRDefault="00000000">
      <w:pPr>
        <w:spacing w:after="120"/>
      </w:pPr>
      <w:r>
        <w:rPr>
          <w:rFonts w:ascii="Arial" w:hAnsi="Arial"/>
          <w:color w:val="333333"/>
          <w:sz w:val="21"/>
        </w:rPr>
        <w:t>This tier measures my liquid cash reserves (starting with my $50,000 safety buffer post-purchase) from a micro and macro sustainability perspective:</w:t>
      </w:r>
    </w:p>
    <w:p w14:paraId="608D5742" w14:textId="2A5796F0" w:rsidR="003530EC" w:rsidRDefault="00000000">
      <w:pPr>
        <w:pStyle w:val="ListBullet"/>
        <w:spacing w:after="60"/>
      </w:pPr>
      <w:r>
        <w:rPr>
          <w:rFonts w:ascii="Arial" w:hAnsi="Arial"/>
          <w:b/>
          <w:color w:val="333333"/>
          <w:sz w:val="21"/>
        </w:rPr>
        <w:t xml:space="preserve">Micro Perspective (Short-Term Monthly Cash Flow): </w:t>
      </w:r>
      <w:r w:rsidR="00AF1252">
        <w:rPr>
          <w:rFonts w:ascii="Arial" w:hAnsi="Arial"/>
          <w:color w:val="333333"/>
          <w:sz w:val="21"/>
        </w:rPr>
        <w:t>M</w:t>
      </w:r>
      <w:r>
        <w:rPr>
          <w:rFonts w:ascii="Arial" w:hAnsi="Arial"/>
          <w:color w:val="333333"/>
          <w:sz w:val="21"/>
        </w:rPr>
        <w:t xml:space="preserve">onthly budget remains highly sustainable. In the Base Case, </w:t>
      </w:r>
      <w:r w:rsidR="00AF1252">
        <w:rPr>
          <w:rFonts w:ascii="Arial" w:hAnsi="Arial"/>
          <w:color w:val="333333"/>
          <w:sz w:val="21"/>
        </w:rPr>
        <w:t>it</w:t>
      </w:r>
      <w:r>
        <w:rPr>
          <w:rFonts w:ascii="Arial" w:hAnsi="Arial"/>
          <w:color w:val="333333"/>
          <w:sz w:val="21"/>
        </w:rPr>
        <w:t xml:space="preserve"> retain</w:t>
      </w:r>
      <w:r w:rsidR="00AF1252">
        <w:rPr>
          <w:rFonts w:ascii="Arial" w:hAnsi="Arial"/>
          <w:color w:val="333333"/>
          <w:sz w:val="21"/>
        </w:rPr>
        <w:t>s</w:t>
      </w:r>
      <w:r>
        <w:rPr>
          <w:rFonts w:ascii="Arial" w:hAnsi="Arial"/>
          <w:color w:val="333333"/>
          <w:sz w:val="21"/>
        </w:rPr>
        <w:t xml:space="preserve"> a monthly surplus of $4,013.06. Even under the Stress Test (8.00% rate, doubled living costs), I maintain a positive monthly cash flow surplus of $1,607.78. Under no scenario does my $50,000 safety buffer ever deplete</w:t>
      </w:r>
      <w:r w:rsidR="00AF1252">
        <w:rPr>
          <w:rFonts w:ascii="Arial" w:hAnsi="Arial"/>
          <w:color w:val="333333"/>
          <w:sz w:val="21"/>
        </w:rPr>
        <w:t>.</w:t>
      </w:r>
    </w:p>
    <w:p w14:paraId="295958AB" w14:textId="70AF516C" w:rsidR="003530EC" w:rsidRDefault="00000000">
      <w:pPr>
        <w:pStyle w:val="ListBullet"/>
        <w:spacing w:after="240"/>
      </w:pPr>
      <w:r>
        <w:rPr>
          <w:rFonts w:ascii="Arial" w:hAnsi="Arial"/>
          <w:b/>
          <w:color w:val="333333"/>
          <w:sz w:val="21"/>
        </w:rPr>
        <w:t xml:space="preserve">Macro Perspective (Long-Term Cash Accumulation): </w:t>
      </w:r>
      <w:r>
        <w:rPr>
          <w:rFonts w:ascii="Arial" w:hAnsi="Arial"/>
          <w:color w:val="333333"/>
          <w:sz w:val="21"/>
        </w:rPr>
        <w:t xml:space="preserve">By putting </w:t>
      </w:r>
      <w:r w:rsidR="00AF1252">
        <w:rPr>
          <w:rFonts w:ascii="Arial" w:hAnsi="Arial"/>
          <w:color w:val="333333"/>
          <w:sz w:val="21"/>
        </w:rPr>
        <w:t xml:space="preserve">the </w:t>
      </w:r>
      <w:r>
        <w:rPr>
          <w:rFonts w:ascii="Arial" w:hAnsi="Arial"/>
          <w:color w:val="333333"/>
          <w:sz w:val="21"/>
        </w:rPr>
        <w:t>monthly surplus cash into the mortgage offset account, my liquid cash reserves grow rapidly. In the Base Case, offset cash grows to $290,784 by Year 5, and $531,567 by Year 10 (fully offsetting the remaining loan balance of $302,524 by Year 7.5</w:t>
      </w:r>
      <w:r w:rsidR="00AF1252">
        <w:rPr>
          <w:rFonts w:ascii="Arial" w:hAnsi="Arial"/>
          <w:color w:val="333333"/>
          <w:sz w:val="21"/>
        </w:rPr>
        <w:t xml:space="preserve">). </w:t>
      </w:r>
      <w:r>
        <w:rPr>
          <w:rFonts w:ascii="Arial" w:hAnsi="Arial"/>
          <w:color w:val="333333"/>
          <w:sz w:val="21"/>
        </w:rPr>
        <w:t>In the Stress Test, offset cash grows to $146,467 at Year 5, and $242,934 at Year 10 (offsetting 67% of the remaining $364,164 loan).</w:t>
      </w:r>
    </w:p>
    <w:p w14:paraId="63AB5BDB" w14:textId="77777777" w:rsidR="003530EC" w:rsidRDefault="00000000">
      <w:pPr>
        <w:keepNext/>
        <w:spacing w:before="240" w:after="80"/>
      </w:pPr>
      <w:r>
        <w:rPr>
          <w:rFonts w:ascii="Arial" w:hAnsi="Arial"/>
          <w:b/>
          <w:color w:val="0F766E"/>
          <w:sz w:val="24"/>
        </w:rPr>
        <w:lastRenderedPageBreak/>
        <w:t>Tier 2: Accessible Liquid Wealth (Cash + Managed Funds)</w:t>
      </w:r>
    </w:p>
    <w:p w14:paraId="3FEFC231" w14:textId="5292905D" w:rsidR="003530EC" w:rsidRDefault="00000000">
      <w:pPr>
        <w:spacing w:after="120"/>
      </w:pPr>
      <w:r>
        <w:rPr>
          <w:rFonts w:ascii="Arial" w:hAnsi="Arial"/>
          <w:color w:val="333333"/>
          <w:sz w:val="21"/>
        </w:rPr>
        <w:t xml:space="preserve">This represents </w:t>
      </w:r>
      <w:r w:rsidR="00AF1252">
        <w:rPr>
          <w:rFonts w:ascii="Arial" w:hAnsi="Arial"/>
          <w:color w:val="333333"/>
          <w:sz w:val="21"/>
        </w:rPr>
        <w:t xml:space="preserve">the </w:t>
      </w:r>
      <w:r>
        <w:rPr>
          <w:rFonts w:ascii="Arial" w:hAnsi="Arial"/>
          <w:color w:val="333333"/>
          <w:sz w:val="21"/>
        </w:rPr>
        <w:t>total liquid and accessible wealth, excluding the home and superannuation. It represents capital that I can access at any time for other investments, opportunities, or lump-sum mortgage reduction. Superannuation is excluded here as it is a preserved asset:</w:t>
      </w:r>
    </w:p>
    <w:p w14:paraId="6BF99F46" w14:textId="77777777" w:rsidR="003530EC" w:rsidRDefault="00000000">
      <w:pPr>
        <w:pStyle w:val="ListBullet"/>
        <w:spacing w:after="60"/>
      </w:pPr>
      <w:r>
        <w:rPr>
          <w:rFonts w:ascii="Arial" w:hAnsi="Arial"/>
          <w:b/>
          <w:color w:val="333333"/>
          <w:sz w:val="21"/>
        </w:rPr>
        <w:t xml:space="preserve">Base Case: </w:t>
      </w:r>
      <w:r>
        <w:rPr>
          <w:rFonts w:ascii="Arial" w:hAnsi="Arial"/>
          <w:color w:val="333333"/>
          <w:sz w:val="21"/>
        </w:rPr>
        <w:t>Accessible liquid wealth grows from $100,724 at settlement (Year 0) to $362,692 at Year 5, and reaches $633,506 by Year 10. This provides me with a highly flexible liquid investment portfolio parallel to my property.</w:t>
      </w:r>
    </w:p>
    <w:p w14:paraId="62603996" w14:textId="77777777" w:rsidR="003530EC" w:rsidRDefault="00000000">
      <w:pPr>
        <w:pStyle w:val="ListBullet"/>
        <w:spacing w:after="240"/>
      </w:pPr>
      <w:r>
        <w:rPr>
          <w:rFonts w:ascii="Arial" w:hAnsi="Arial"/>
          <w:b/>
          <w:color w:val="333333"/>
          <w:sz w:val="21"/>
        </w:rPr>
        <w:t xml:space="preserve">Stress Test Case: </w:t>
      </w:r>
      <w:r>
        <w:rPr>
          <w:rFonts w:ascii="Arial" w:hAnsi="Arial"/>
          <w:color w:val="333333"/>
          <w:sz w:val="21"/>
        </w:rPr>
        <w:t>Accessible liquid wealth grows from $100,724 to $214,886 at Year 5, and reaches $335,221 by Year 10. Even under adverse financial conditions, my accessible liquid assets more than triple in 10 years.</w:t>
      </w:r>
    </w:p>
    <w:p w14:paraId="208E24C2" w14:textId="4E444568" w:rsidR="003530EC" w:rsidRDefault="00000000">
      <w:pPr>
        <w:spacing w:after="120"/>
      </w:pPr>
      <w:r>
        <w:rPr>
          <w:rFonts w:ascii="Arial" w:hAnsi="Arial"/>
          <w:color w:val="333333"/>
          <w:sz w:val="21"/>
        </w:rPr>
        <w:t>This represents accessible net worth, calculated as: Accessible Assets (Property + Managed Funds + Offset Cash) - Mortgage Liabilities. Preserved superannuation is completely excluded from this tier as it is locked until retirement:</w:t>
      </w:r>
    </w:p>
    <w:p w14:paraId="0824E439" w14:textId="77777777" w:rsidR="003530EC" w:rsidRDefault="00000000">
      <w:pPr>
        <w:pStyle w:val="ListBullet"/>
        <w:spacing w:after="60"/>
      </w:pPr>
      <w:r>
        <w:rPr>
          <w:rFonts w:ascii="Arial" w:hAnsi="Arial"/>
          <w:b/>
          <w:color w:val="333333"/>
          <w:sz w:val="21"/>
        </w:rPr>
        <w:t xml:space="preserve">Accessible Net Worth (Base Case): </w:t>
      </w:r>
      <w:r>
        <w:rPr>
          <w:rFonts w:ascii="Arial" w:hAnsi="Arial"/>
          <w:color w:val="333333"/>
          <w:sz w:val="21"/>
        </w:rPr>
        <w:t>Starts at $250,724 at settlement (Year 0). It grows to $732,228 at Year 5, and reaches $1,342,997 at Year 10. This demonstrates a highly robust liquid growth path and substantial home equity generation.</w:t>
      </w:r>
    </w:p>
    <w:p w14:paraId="0A540599" w14:textId="77777777" w:rsidR="003530EC" w:rsidRDefault="00000000">
      <w:pPr>
        <w:pStyle w:val="ListBullet"/>
        <w:spacing w:after="240"/>
      </w:pPr>
      <w:r>
        <w:rPr>
          <w:rFonts w:ascii="Arial" w:hAnsi="Arial"/>
          <w:b/>
          <w:color w:val="333333"/>
          <w:sz w:val="21"/>
        </w:rPr>
        <w:t xml:space="preserve">Accessible Net Worth (Stress Case): </w:t>
      </w:r>
      <w:r>
        <w:rPr>
          <w:rFonts w:ascii="Arial" w:hAnsi="Arial"/>
          <w:color w:val="333333"/>
          <w:sz w:val="21"/>
        </w:rPr>
        <w:t>Starts at $250,724 at settlement. It grows to $479,064 at Year 5, and reaches $799,901 at Year 10. Even under high interest rates and minimal unit growth, my accessible net worth increases by over $549k over the decade, proving the high safety margin of the strategy.</w:t>
      </w:r>
    </w:p>
    <w:p w14:paraId="54677C79" w14:textId="77777777" w:rsidR="003530EC" w:rsidRDefault="00000000">
      <w:pPr>
        <w:keepNext/>
        <w:spacing w:before="240" w:after="80"/>
      </w:pPr>
      <w:r>
        <w:rPr>
          <w:rFonts w:ascii="Arial" w:hAnsi="Arial"/>
          <w:b/>
          <w:color w:val="0F766E"/>
          <w:sz w:val="24"/>
        </w:rPr>
        <w:t>6.1.2 Balance Sheet Component Breakdown &amp; Mathematical Logic</w:t>
      </w:r>
    </w:p>
    <w:p w14:paraId="211F0926" w14:textId="7AF8A19D" w:rsidR="003530EC" w:rsidRDefault="00000000">
      <w:pPr>
        <w:spacing w:after="120"/>
      </w:pPr>
      <w:r>
        <w:rPr>
          <w:rFonts w:ascii="Arial" w:hAnsi="Arial"/>
          <w:color w:val="333333"/>
          <w:sz w:val="21"/>
        </w:rPr>
        <w:t xml:space="preserve">Accessible Net Worth numbers in Figure 5 </w:t>
      </w:r>
      <w:r w:rsidR="00F94E22">
        <w:rPr>
          <w:rFonts w:ascii="Arial" w:hAnsi="Arial"/>
          <w:color w:val="333333"/>
          <w:sz w:val="21"/>
        </w:rPr>
        <w:t xml:space="preserve">(page 11) </w:t>
      </w:r>
      <w:r>
        <w:rPr>
          <w:rFonts w:ascii="Arial" w:hAnsi="Arial"/>
          <w:color w:val="333333"/>
          <w:sz w:val="21"/>
        </w:rPr>
        <w:t>are calculated</w:t>
      </w:r>
      <w:r w:rsidR="00F94E22">
        <w:rPr>
          <w:rFonts w:ascii="Arial" w:hAnsi="Arial"/>
          <w:color w:val="333333"/>
          <w:sz w:val="21"/>
        </w:rPr>
        <w:t xml:space="preserve"> using</w:t>
      </w:r>
      <w:r>
        <w:rPr>
          <w:rFonts w:ascii="Arial" w:hAnsi="Arial"/>
          <w:color w:val="333333"/>
          <w:sz w:val="21"/>
        </w:rPr>
        <w:t xml:space="preserve"> the tables below</w:t>
      </w:r>
      <w:r w:rsidR="00F94E22">
        <w:rPr>
          <w:rFonts w:ascii="Arial" w:hAnsi="Arial"/>
          <w:color w:val="333333"/>
          <w:sz w:val="21"/>
        </w:rPr>
        <w:t xml:space="preserve">, which </w:t>
      </w:r>
      <w:r>
        <w:rPr>
          <w:rFonts w:ascii="Arial" w:hAnsi="Arial"/>
          <w:color w:val="333333"/>
          <w:sz w:val="21"/>
        </w:rPr>
        <w:t xml:space="preserve">outline the asset and liability component values at Year 0 (settlement), Year 5, and Year 10. Net Worth is calculated as: </w:t>
      </w:r>
      <w:r w:rsidRPr="00F94E22">
        <w:rPr>
          <w:rFonts w:ascii="Arial" w:hAnsi="Arial"/>
          <w:i/>
          <w:iCs/>
          <w:color w:val="333333"/>
          <w:sz w:val="21"/>
        </w:rPr>
        <w:t>Net Worth = Total Accessible Assets - Total Liabilities</w:t>
      </w:r>
      <w:r>
        <w:rPr>
          <w:rFonts w:ascii="Arial" w:hAnsi="Arial"/>
          <w:color w:val="333333"/>
          <w:sz w:val="21"/>
        </w:rPr>
        <w:t>, where Total Accessible Assets is the sum of Property Value, Managed Funds, and Offset Cash, and Total Liabilities is the Remaining Mortgage Loan Balance. This structured overview ensures no mixing of preserved retirement assets with accessible wealth.</w:t>
      </w:r>
    </w:p>
    <w:p w14:paraId="3EAEAC74" w14:textId="77777777" w:rsidR="003530EC" w:rsidRDefault="00000000">
      <w:pPr>
        <w:spacing w:after="120"/>
      </w:pPr>
      <w:r>
        <w:rPr>
          <w:rFonts w:ascii="Arial" w:hAnsi="Arial"/>
          <w:i/>
          <w:color w:val="333333"/>
          <w:sz w:val="21"/>
        </w:rPr>
        <w:t>Table 6: Base Case 10-Year Component Breakdown (6.00% Mortgage Rate, 3.0% Property Growth)</w:t>
      </w:r>
    </w:p>
    <w:tbl>
      <w:tblPr>
        <w:tblW w:w="0" w:type="auto"/>
        <w:jc w:val="center"/>
        <w:tblLook w:val="04A0" w:firstRow="1" w:lastRow="0" w:firstColumn="1" w:lastColumn="0" w:noHBand="0" w:noVBand="1"/>
      </w:tblPr>
      <w:tblGrid>
        <w:gridCol w:w="3429"/>
        <w:gridCol w:w="1969"/>
        <w:gridCol w:w="1981"/>
        <w:gridCol w:w="1981"/>
      </w:tblGrid>
      <w:tr w:rsidR="003530EC" w14:paraId="62A4EDD1" w14:textId="77777777">
        <w:trPr>
          <w:jc w:val="center"/>
        </w:trPr>
        <w:tc>
          <w:tcPr>
            <w:tcW w:w="3600" w:type="dxa"/>
            <w:shd w:val="clear" w:color="auto" w:fill="1F3A60"/>
            <w:tcMar>
              <w:top w:w="120" w:type="dxa"/>
              <w:left w:w="120" w:type="dxa"/>
              <w:bottom w:w="120" w:type="dxa"/>
              <w:right w:w="120" w:type="dxa"/>
            </w:tcMar>
          </w:tcPr>
          <w:p w14:paraId="4E1ABA14" w14:textId="77777777" w:rsidR="003530EC" w:rsidRDefault="00000000">
            <w:pPr>
              <w:spacing w:after="0"/>
            </w:pPr>
            <w:r>
              <w:rPr>
                <w:rFonts w:ascii="Arial" w:hAnsi="Arial"/>
                <w:b/>
                <w:color w:val="FFFFFF"/>
                <w:sz w:val="19"/>
              </w:rPr>
              <w:t>Balance Sheet Component</w:t>
            </w:r>
          </w:p>
        </w:tc>
        <w:tc>
          <w:tcPr>
            <w:tcW w:w="2016" w:type="dxa"/>
            <w:shd w:val="clear" w:color="auto" w:fill="1F3A60"/>
            <w:tcMar>
              <w:top w:w="120" w:type="dxa"/>
              <w:left w:w="120" w:type="dxa"/>
              <w:bottom w:w="120" w:type="dxa"/>
              <w:right w:w="120" w:type="dxa"/>
            </w:tcMar>
          </w:tcPr>
          <w:p w14:paraId="7261663B" w14:textId="77777777" w:rsidR="003530EC" w:rsidRDefault="00000000">
            <w:pPr>
              <w:spacing w:after="0"/>
              <w:jc w:val="right"/>
            </w:pPr>
            <w:r>
              <w:rPr>
                <w:rFonts w:ascii="Arial" w:hAnsi="Arial"/>
                <w:b/>
                <w:color w:val="FFFFFF"/>
                <w:sz w:val="19"/>
              </w:rPr>
              <w:t>Year 0 (Settlement)</w:t>
            </w:r>
          </w:p>
        </w:tc>
        <w:tc>
          <w:tcPr>
            <w:tcW w:w="2016" w:type="dxa"/>
            <w:shd w:val="clear" w:color="auto" w:fill="1F3A60"/>
            <w:tcMar>
              <w:top w:w="120" w:type="dxa"/>
              <w:left w:w="120" w:type="dxa"/>
              <w:bottom w:w="120" w:type="dxa"/>
              <w:right w:w="120" w:type="dxa"/>
            </w:tcMar>
          </w:tcPr>
          <w:p w14:paraId="1D9BE4E4" w14:textId="77777777" w:rsidR="003530EC" w:rsidRDefault="00000000">
            <w:pPr>
              <w:spacing w:after="0"/>
              <w:jc w:val="right"/>
            </w:pPr>
            <w:r>
              <w:rPr>
                <w:rFonts w:ascii="Arial" w:hAnsi="Arial"/>
                <w:b/>
                <w:color w:val="FFFFFF"/>
                <w:sz w:val="19"/>
              </w:rPr>
              <w:t>Year 5 Post-Purchase</w:t>
            </w:r>
          </w:p>
        </w:tc>
        <w:tc>
          <w:tcPr>
            <w:tcW w:w="2016" w:type="dxa"/>
            <w:shd w:val="clear" w:color="auto" w:fill="1F3A60"/>
            <w:tcMar>
              <w:top w:w="120" w:type="dxa"/>
              <w:left w:w="120" w:type="dxa"/>
              <w:bottom w:w="120" w:type="dxa"/>
              <w:right w:w="120" w:type="dxa"/>
            </w:tcMar>
          </w:tcPr>
          <w:p w14:paraId="00A8B142" w14:textId="77777777" w:rsidR="003530EC" w:rsidRDefault="00000000">
            <w:pPr>
              <w:spacing w:after="0"/>
              <w:jc w:val="right"/>
            </w:pPr>
            <w:r>
              <w:rPr>
                <w:rFonts w:ascii="Arial" w:hAnsi="Arial"/>
                <w:b/>
                <w:color w:val="FFFFFF"/>
                <w:sz w:val="19"/>
              </w:rPr>
              <w:t>Year 10 Post-Purchase</w:t>
            </w:r>
          </w:p>
        </w:tc>
      </w:tr>
      <w:tr w:rsidR="003530EC" w14:paraId="4371A89D"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6C4457A5" w14:textId="77777777" w:rsidR="003530EC" w:rsidRPr="00F94E22" w:rsidRDefault="00000000">
            <w:pPr>
              <w:spacing w:after="0"/>
              <w:rPr>
                <w:sz w:val="20"/>
                <w:szCs w:val="20"/>
              </w:rPr>
            </w:pPr>
            <w:r w:rsidRPr="00F94E22">
              <w:rPr>
                <w:sz w:val="20"/>
                <w:szCs w:val="20"/>
              </w:rPr>
              <w:t>Property Value (3.0% p.a. Growth)</w:t>
            </w:r>
          </w:p>
        </w:tc>
        <w:tc>
          <w:tcPr>
            <w:tcW w:w="2016" w:type="dxa"/>
            <w:tcBorders>
              <w:bottom w:val="single" w:sz="4" w:space="0" w:color="E2E8F0"/>
            </w:tcBorders>
            <w:shd w:val="clear" w:color="auto" w:fill="F8FAFC"/>
            <w:tcMar>
              <w:top w:w="100" w:type="dxa"/>
              <w:left w:w="120" w:type="dxa"/>
              <w:bottom w:w="100" w:type="dxa"/>
              <w:right w:w="120" w:type="dxa"/>
            </w:tcMar>
          </w:tcPr>
          <w:p w14:paraId="14E34FC0" w14:textId="77777777" w:rsidR="003530EC" w:rsidRPr="00F94E22" w:rsidRDefault="00000000">
            <w:pPr>
              <w:spacing w:after="0"/>
              <w:jc w:val="right"/>
              <w:rPr>
                <w:sz w:val="20"/>
                <w:szCs w:val="20"/>
              </w:rPr>
            </w:pPr>
            <w:r w:rsidRPr="00F94E22">
              <w:rPr>
                <w:sz w:val="20"/>
                <w:szCs w:val="20"/>
              </w:rPr>
              <w:t>$750,000.00</w:t>
            </w:r>
          </w:p>
        </w:tc>
        <w:tc>
          <w:tcPr>
            <w:tcW w:w="2016" w:type="dxa"/>
            <w:tcBorders>
              <w:bottom w:val="single" w:sz="4" w:space="0" w:color="E2E8F0"/>
            </w:tcBorders>
            <w:shd w:val="clear" w:color="auto" w:fill="F8FAFC"/>
            <w:tcMar>
              <w:top w:w="100" w:type="dxa"/>
              <w:left w:w="120" w:type="dxa"/>
              <w:bottom w:w="100" w:type="dxa"/>
              <w:right w:w="120" w:type="dxa"/>
            </w:tcMar>
          </w:tcPr>
          <w:p w14:paraId="6F77477F" w14:textId="77777777" w:rsidR="003530EC" w:rsidRPr="00F94E22" w:rsidRDefault="00000000">
            <w:pPr>
              <w:spacing w:after="0"/>
              <w:jc w:val="right"/>
              <w:rPr>
                <w:sz w:val="20"/>
                <w:szCs w:val="20"/>
              </w:rPr>
            </w:pPr>
            <w:r w:rsidRPr="00F94E22">
              <w:rPr>
                <w:sz w:val="20"/>
                <w:szCs w:val="20"/>
              </w:rPr>
              <w:t>$871,212.59</w:t>
            </w:r>
          </w:p>
        </w:tc>
        <w:tc>
          <w:tcPr>
            <w:tcW w:w="2016" w:type="dxa"/>
            <w:tcBorders>
              <w:bottom w:val="single" w:sz="4" w:space="0" w:color="E2E8F0"/>
            </w:tcBorders>
            <w:shd w:val="clear" w:color="auto" w:fill="F8FAFC"/>
            <w:tcMar>
              <w:top w:w="100" w:type="dxa"/>
              <w:left w:w="120" w:type="dxa"/>
              <w:bottom w:w="100" w:type="dxa"/>
              <w:right w:w="120" w:type="dxa"/>
            </w:tcMar>
          </w:tcPr>
          <w:p w14:paraId="4DFECFAB" w14:textId="77777777" w:rsidR="003530EC" w:rsidRPr="00F94E22" w:rsidRDefault="00000000">
            <w:pPr>
              <w:spacing w:after="0"/>
              <w:jc w:val="right"/>
              <w:rPr>
                <w:sz w:val="20"/>
                <w:szCs w:val="20"/>
              </w:rPr>
            </w:pPr>
            <w:r w:rsidRPr="00F94E22">
              <w:rPr>
                <w:sz w:val="20"/>
                <w:szCs w:val="20"/>
              </w:rPr>
              <w:t>$1,012,015.16</w:t>
            </w:r>
          </w:p>
        </w:tc>
      </w:tr>
      <w:tr w:rsidR="003530EC" w14:paraId="54ECFE10"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7A5E7289" w14:textId="77777777" w:rsidR="003530EC" w:rsidRPr="00F94E22" w:rsidRDefault="00000000">
            <w:pPr>
              <w:spacing w:after="0"/>
              <w:rPr>
                <w:sz w:val="20"/>
                <w:szCs w:val="20"/>
              </w:rPr>
            </w:pPr>
            <w:r w:rsidRPr="00F94E22">
              <w:rPr>
                <w:sz w:val="20"/>
                <w:szCs w:val="20"/>
              </w:rPr>
              <w:t>Managed Funds (7.0% p.a. Growth)</w:t>
            </w:r>
          </w:p>
        </w:tc>
        <w:tc>
          <w:tcPr>
            <w:tcW w:w="2016" w:type="dxa"/>
            <w:tcBorders>
              <w:bottom w:val="single" w:sz="4" w:space="0" w:color="E2E8F0"/>
            </w:tcBorders>
            <w:shd w:val="clear" w:color="auto" w:fill="FFFFFF"/>
            <w:tcMar>
              <w:top w:w="100" w:type="dxa"/>
              <w:left w:w="120" w:type="dxa"/>
              <w:bottom w:w="100" w:type="dxa"/>
              <w:right w:w="120" w:type="dxa"/>
            </w:tcMar>
          </w:tcPr>
          <w:p w14:paraId="145CFA5E" w14:textId="77777777" w:rsidR="003530EC" w:rsidRPr="00F94E22" w:rsidRDefault="00000000">
            <w:pPr>
              <w:spacing w:after="0"/>
              <w:jc w:val="right"/>
              <w:rPr>
                <w:sz w:val="20"/>
                <w:szCs w:val="20"/>
              </w:rPr>
            </w:pPr>
            <w:r w:rsidRPr="00F94E22">
              <w:rPr>
                <w:sz w:val="20"/>
                <w:szCs w:val="20"/>
              </w:rPr>
              <w:t>$50,724.43</w:t>
            </w:r>
          </w:p>
        </w:tc>
        <w:tc>
          <w:tcPr>
            <w:tcW w:w="2016" w:type="dxa"/>
            <w:tcBorders>
              <w:bottom w:val="single" w:sz="4" w:space="0" w:color="E2E8F0"/>
            </w:tcBorders>
            <w:shd w:val="clear" w:color="auto" w:fill="FFFFFF"/>
            <w:tcMar>
              <w:top w:w="100" w:type="dxa"/>
              <w:left w:w="120" w:type="dxa"/>
              <w:bottom w:w="100" w:type="dxa"/>
              <w:right w:w="120" w:type="dxa"/>
            </w:tcMar>
          </w:tcPr>
          <w:p w14:paraId="4DFDA0B8" w14:textId="77777777" w:rsidR="003530EC" w:rsidRPr="00F94E22" w:rsidRDefault="00000000">
            <w:pPr>
              <w:spacing w:after="0"/>
              <w:jc w:val="right"/>
              <w:rPr>
                <w:sz w:val="20"/>
                <w:szCs w:val="20"/>
              </w:rPr>
            </w:pPr>
            <w:r w:rsidRPr="00F94E22">
              <w:rPr>
                <w:sz w:val="20"/>
                <w:szCs w:val="20"/>
              </w:rPr>
              <w:t>$71,908.23</w:t>
            </w:r>
          </w:p>
        </w:tc>
        <w:tc>
          <w:tcPr>
            <w:tcW w:w="2016" w:type="dxa"/>
            <w:tcBorders>
              <w:bottom w:val="single" w:sz="4" w:space="0" w:color="E2E8F0"/>
            </w:tcBorders>
            <w:shd w:val="clear" w:color="auto" w:fill="FFFFFF"/>
            <w:tcMar>
              <w:top w:w="100" w:type="dxa"/>
              <w:left w:w="120" w:type="dxa"/>
              <w:bottom w:w="100" w:type="dxa"/>
              <w:right w:w="120" w:type="dxa"/>
            </w:tcMar>
          </w:tcPr>
          <w:p w14:paraId="160B9201" w14:textId="77777777" w:rsidR="003530EC" w:rsidRPr="00F94E22" w:rsidRDefault="00000000">
            <w:pPr>
              <w:spacing w:after="0"/>
              <w:jc w:val="right"/>
              <w:rPr>
                <w:sz w:val="20"/>
                <w:szCs w:val="20"/>
              </w:rPr>
            </w:pPr>
            <w:r w:rsidRPr="00F94E22">
              <w:rPr>
                <w:sz w:val="20"/>
                <w:szCs w:val="20"/>
              </w:rPr>
              <w:t>$101,938.93</w:t>
            </w:r>
          </w:p>
        </w:tc>
      </w:tr>
      <w:tr w:rsidR="003530EC" w14:paraId="62EE4060"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22DB9384" w14:textId="77777777" w:rsidR="003530EC" w:rsidRPr="00F94E22" w:rsidRDefault="00000000">
            <w:pPr>
              <w:spacing w:after="0"/>
              <w:rPr>
                <w:sz w:val="20"/>
                <w:szCs w:val="20"/>
              </w:rPr>
            </w:pPr>
            <w:r w:rsidRPr="00F94E22">
              <w:rPr>
                <w:sz w:val="20"/>
                <w:szCs w:val="20"/>
              </w:rPr>
              <w:t>Offset Cash Balance ($4.0k/mo surplus + interest)</w:t>
            </w:r>
          </w:p>
        </w:tc>
        <w:tc>
          <w:tcPr>
            <w:tcW w:w="2016" w:type="dxa"/>
            <w:tcBorders>
              <w:bottom w:val="single" w:sz="4" w:space="0" w:color="E2E8F0"/>
            </w:tcBorders>
            <w:shd w:val="clear" w:color="auto" w:fill="F8FAFC"/>
            <w:tcMar>
              <w:top w:w="100" w:type="dxa"/>
              <w:left w:w="120" w:type="dxa"/>
              <w:bottom w:w="100" w:type="dxa"/>
              <w:right w:w="120" w:type="dxa"/>
            </w:tcMar>
          </w:tcPr>
          <w:p w14:paraId="5CB6F16A" w14:textId="77777777" w:rsidR="003530EC" w:rsidRPr="00F94E22" w:rsidRDefault="00000000">
            <w:pPr>
              <w:spacing w:after="0"/>
              <w:jc w:val="right"/>
              <w:rPr>
                <w:sz w:val="20"/>
                <w:szCs w:val="20"/>
              </w:rPr>
            </w:pPr>
            <w:r w:rsidRPr="00F94E22">
              <w:rPr>
                <w:sz w:val="20"/>
                <w:szCs w:val="20"/>
              </w:rPr>
              <w:t>$50,000.00</w:t>
            </w:r>
          </w:p>
        </w:tc>
        <w:tc>
          <w:tcPr>
            <w:tcW w:w="2016" w:type="dxa"/>
            <w:tcBorders>
              <w:bottom w:val="single" w:sz="4" w:space="0" w:color="E2E8F0"/>
            </w:tcBorders>
            <w:shd w:val="clear" w:color="auto" w:fill="F8FAFC"/>
            <w:tcMar>
              <w:top w:w="100" w:type="dxa"/>
              <w:left w:w="120" w:type="dxa"/>
              <w:bottom w:w="100" w:type="dxa"/>
              <w:right w:w="120" w:type="dxa"/>
            </w:tcMar>
          </w:tcPr>
          <w:p w14:paraId="71584DC4" w14:textId="77777777" w:rsidR="003530EC" w:rsidRPr="00F94E22" w:rsidRDefault="00000000">
            <w:pPr>
              <w:spacing w:after="0"/>
              <w:jc w:val="right"/>
              <w:rPr>
                <w:sz w:val="20"/>
                <w:szCs w:val="20"/>
              </w:rPr>
            </w:pPr>
            <w:r w:rsidRPr="00F94E22">
              <w:rPr>
                <w:sz w:val="20"/>
                <w:szCs w:val="20"/>
              </w:rPr>
              <w:t>$290,783.60</w:t>
            </w:r>
          </w:p>
        </w:tc>
        <w:tc>
          <w:tcPr>
            <w:tcW w:w="2016" w:type="dxa"/>
            <w:tcBorders>
              <w:bottom w:val="single" w:sz="4" w:space="0" w:color="E2E8F0"/>
            </w:tcBorders>
            <w:shd w:val="clear" w:color="auto" w:fill="F8FAFC"/>
            <w:tcMar>
              <w:top w:w="100" w:type="dxa"/>
              <w:left w:w="120" w:type="dxa"/>
              <w:bottom w:w="100" w:type="dxa"/>
              <w:right w:w="120" w:type="dxa"/>
            </w:tcMar>
          </w:tcPr>
          <w:p w14:paraId="63AC455F" w14:textId="77777777" w:rsidR="003530EC" w:rsidRPr="00F94E22" w:rsidRDefault="00000000">
            <w:pPr>
              <w:spacing w:after="0"/>
              <w:jc w:val="right"/>
              <w:rPr>
                <w:sz w:val="20"/>
                <w:szCs w:val="20"/>
              </w:rPr>
            </w:pPr>
            <w:r w:rsidRPr="00F94E22">
              <w:rPr>
                <w:sz w:val="20"/>
                <w:szCs w:val="20"/>
              </w:rPr>
              <w:t>$531,567.20</w:t>
            </w:r>
          </w:p>
        </w:tc>
      </w:tr>
      <w:tr w:rsidR="003530EC" w14:paraId="6753C613"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69288E2C" w14:textId="77777777" w:rsidR="003530EC" w:rsidRPr="00F94E22" w:rsidRDefault="00000000">
            <w:pPr>
              <w:spacing w:after="0"/>
              <w:rPr>
                <w:sz w:val="20"/>
                <w:szCs w:val="20"/>
              </w:rPr>
            </w:pPr>
            <w:r w:rsidRPr="00F94E22">
              <w:rPr>
                <w:b/>
                <w:sz w:val="20"/>
                <w:szCs w:val="20"/>
              </w:rPr>
              <w:t>Total Accessible Assets (A)</w:t>
            </w:r>
          </w:p>
        </w:tc>
        <w:tc>
          <w:tcPr>
            <w:tcW w:w="2016" w:type="dxa"/>
            <w:tcBorders>
              <w:bottom w:val="single" w:sz="4" w:space="0" w:color="E2E8F0"/>
            </w:tcBorders>
            <w:shd w:val="clear" w:color="auto" w:fill="FFFFFF"/>
            <w:tcMar>
              <w:top w:w="100" w:type="dxa"/>
              <w:left w:w="120" w:type="dxa"/>
              <w:bottom w:w="100" w:type="dxa"/>
              <w:right w:w="120" w:type="dxa"/>
            </w:tcMar>
          </w:tcPr>
          <w:p w14:paraId="53E30C05" w14:textId="77777777" w:rsidR="003530EC" w:rsidRPr="00F94E22" w:rsidRDefault="00000000">
            <w:pPr>
              <w:spacing w:after="0"/>
              <w:jc w:val="right"/>
              <w:rPr>
                <w:sz w:val="20"/>
                <w:szCs w:val="20"/>
              </w:rPr>
            </w:pPr>
            <w:r w:rsidRPr="00F94E22">
              <w:rPr>
                <w:b/>
                <w:sz w:val="20"/>
                <w:szCs w:val="20"/>
              </w:rPr>
              <w:t>$850,724.43</w:t>
            </w:r>
          </w:p>
        </w:tc>
        <w:tc>
          <w:tcPr>
            <w:tcW w:w="2016" w:type="dxa"/>
            <w:tcBorders>
              <w:bottom w:val="single" w:sz="4" w:space="0" w:color="E2E8F0"/>
            </w:tcBorders>
            <w:shd w:val="clear" w:color="auto" w:fill="FFFFFF"/>
            <w:tcMar>
              <w:top w:w="100" w:type="dxa"/>
              <w:left w:w="120" w:type="dxa"/>
              <w:bottom w:w="100" w:type="dxa"/>
              <w:right w:w="120" w:type="dxa"/>
            </w:tcMar>
          </w:tcPr>
          <w:p w14:paraId="4850F415" w14:textId="77777777" w:rsidR="003530EC" w:rsidRPr="00F94E22" w:rsidRDefault="00000000">
            <w:pPr>
              <w:spacing w:after="0"/>
              <w:jc w:val="right"/>
              <w:rPr>
                <w:sz w:val="20"/>
                <w:szCs w:val="20"/>
              </w:rPr>
            </w:pPr>
            <w:r w:rsidRPr="00F94E22">
              <w:rPr>
                <w:b/>
                <w:sz w:val="20"/>
                <w:szCs w:val="20"/>
              </w:rPr>
              <w:t>$1,233,904.42</w:t>
            </w:r>
          </w:p>
        </w:tc>
        <w:tc>
          <w:tcPr>
            <w:tcW w:w="2016" w:type="dxa"/>
            <w:tcBorders>
              <w:bottom w:val="single" w:sz="4" w:space="0" w:color="E2E8F0"/>
            </w:tcBorders>
            <w:shd w:val="clear" w:color="auto" w:fill="FFFFFF"/>
            <w:tcMar>
              <w:top w:w="100" w:type="dxa"/>
              <w:left w:w="120" w:type="dxa"/>
              <w:bottom w:w="100" w:type="dxa"/>
              <w:right w:w="120" w:type="dxa"/>
            </w:tcMar>
          </w:tcPr>
          <w:p w14:paraId="64B0A26B" w14:textId="77777777" w:rsidR="003530EC" w:rsidRPr="00F94E22" w:rsidRDefault="00000000">
            <w:pPr>
              <w:spacing w:after="0"/>
              <w:jc w:val="right"/>
              <w:rPr>
                <w:sz w:val="20"/>
                <w:szCs w:val="20"/>
              </w:rPr>
            </w:pPr>
            <w:r w:rsidRPr="00F94E22">
              <w:rPr>
                <w:b/>
                <w:sz w:val="20"/>
                <w:szCs w:val="20"/>
              </w:rPr>
              <w:t>$1,645,521.29</w:t>
            </w:r>
          </w:p>
        </w:tc>
      </w:tr>
      <w:tr w:rsidR="003530EC" w14:paraId="581CDCBF"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13E2B3A0" w14:textId="77777777" w:rsidR="003530EC" w:rsidRPr="00F94E22" w:rsidRDefault="00000000">
            <w:pPr>
              <w:spacing w:after="0"/>
              <w:rPr>
                <w:sz w:val="20"/>
                <w:szCs w:val="20"/>
              </w:rPr>
            </w:pPr>
            <w:r w:rsidRPr="00F94E22">
              <w:rPr>
                <w:sz w:val="20"/>
                <w:szCs w:val="20"/>
              </w:rPr>
              <w:t>Remaining Mortgage Loan (B)</w:t>
            </w:r>
          </w:p>
        </w:tc>
        <w:tc>
          <w:tcPr>
            <w:tcW w:w="2016" w:type="dxa"/>
            <w:tcBorders>
              <w:bottom w:val="single" w:sz="4" w:space="0" w:color="E2E8F0"/>
            </w:tcBorders>
            <w:shd w:val="clear" w:color="auto" w:fill="F8FAFC"/>
            <w:tcMar>
              <w:top w:w="100" w:type="dxa"/>
              <w:left w:w="120" w:type="dxa"/>
              <w:bottom w:w="100" w:type="dxa"/>
              <w:right w:w="120" w:type="dxa"/>
            </w:tcMar>
          </w:tcPr>
          <w:p w14:paraId="7B11CA1A" w14:textId="77777777" w:rsidR="003530EC" w:rsidRPr="00F94E22" w:rsidRDefault="00000000">
            <w:pPr>
              <w:spacing w:after="0"/>
              <w:jc w:val="right"/>
              <w:rPr>
                <w:sz w:val="20"/>
                <w:szCs w:val="20"/>
              </w:rPr>
            </w:pPr>
            <w:r w:rsidRPr="00F94E22">
              <w:rPr>
                <w:sz w:val="20"/>
                <w:szCs w:val="20"/>
              </w:rPr>
              <w:t>-$600,000.00</w:t>
            </w:r>
          </w:p>
        </w:tc>
        <w:tc>
          <w:tcPr>
            <w:tcW w:w="2016" w:type="dxa"/>
            <w:tcBorders>
              <w:bottom w:val="single" w:sz="4" w:space="0" w:color="E2E8F0"/>
            </w:tcBorders>
            <w:shd w:val="clear" w:color="auto" w:fill="F8FAFC"/>
            <w:tcMar>
              <w:top w:w="100" w:type="dxa"/>
              <w:left w:w="120" w:type="dxa"/>
              <w:bottom w:w="100" w:type="dxa"/>
              <w:right w:w="120" w:type="dxa"/>
            </w:tcMar>
          </w:tcPr>
          <w:p w14:paraId="7483447F" w14:textId="77777777" w:rsidR="003530EC" w:rsidRPr="00F94E22" w:rsidRDefault="00000000">
            <w:pPr>
              <w:spacing w:after="0"/>
              <w:jc w:val="right"/>
              <w:rPr>
                <w:sz w:val="20"/>
                <w:szCs w:val="20"/>
              </w:rPr>
            </w:pPr>
            <w:r w:rsidRPr="00F94E22">
              <w:rPr>
                <w:sz w:val="20"/>
                <w:szCs w:val="20"/>
              </w:rPr>
              <w:t>-$501,676.13</w:t>
            </w:r>
          </w:p>
        </w:tc>
        <w:tc>
          <w:tcPr>
            <w:tcW w:w="2016" w:type="dxa"/>
            <w:tcBorders>
              <w:bottom w:val="single" w:sz="4" w:space="0" w:color="E2E8F0"/>
            </w:tcBorders>
            <w:shd w:val="clear" w:color="auto" w:fill="F8FAFC"/>
            <w:tcMar>
              <w:top w:w="100" w:type="dxa"/>
              <w:left w:w="120" w:type="dxa"/>
              <w:bottom w:w="100" w:type="dxa"/>
              <w:right w:w="120" w:type="dxa"/>
            </w:tcMar>
          </w:tcPr>
          <w:p w14:paraId="6AE7C27B" w14:textId="77777777" w:rsidR="003530EC" w:rsidRPr="00F94E22" w:rsidRDefault="00000000">
            <w:pPr>
              <w:spacing w:after="0"/>
              <w:jc w:val="right"/>
              <w:rPr>
                <w:sz w:val="20"/>
                <w:szCs w:val="20"/>
              </w:rPr>
            </w:pPr>
            <w:r w:rsidRPr="00F94E22">
              <w:rPr>
                <w:sz w:val="20"/>
                <w:szCs w:val="20"/>
              </w:rPr>
              <w:t>-$302,524.46</w:t>
            </w:r>
          </w:p>
        </w:tc>
      </w:tr>
      <w:tr w:rsidR="003530EC" w14:paraId="4E5AC3AF"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664D7329" w14:textId="77777777" w:rsidR="003530EC" w:rsidRPr="00F94E22" w:rsidRDefault="00000000">
            <w:pPr>
              <w:spacing w:after="0"/>
              <w:rPr>
                <w:sz w:val="20"/>
                <w:szCs w:val="20"/>
              </w:rPr>
            </w:pPr>
            <w:r w:rsidRPr="00F94E22">
              <w:rPr>
                <w:b/>
                <w:sz w:val="20"/>
                <w:szCs w:val="20"/>
              </w:rPr>
              <w:t>Accessible Net Worth (A - B)</w:t>
            </w:r>
          </w:p>
        </w:tc>
        <w:tc>
          <w:tcPr>
            <w:tcW w:w="2016" w:type="dxa"/>
            <w:tcBorders>
              <w:bottom w:val="single" w:sz="4" w:space="0" w:color="E2E8F0"/>
            </w:tcBorders>
            <w:shd w:val="clear" w:color="auto" w:fill="FFFFFF"/>
            <w:tcMar>
              <w:top w:w="100" w:type="dxa"/>
              <w:left w:w="120" w:type="dxa"/>
              <w:bottom w:w="100" w:type="dxa"/>
              <w:right w:w="120" w:type="dxa"/>
            </w:tcMar>
          </w:tcPr>
          <w:p w14:paraId="4447DBB0" w14:textId="77777777" w:rsidR="003530EC" w:rsidRPr="00F94E22" w:rsidRDefault="00000000">
            <w:pPr>
              <w:spacing w:after="0"/>
              <w:jc w:val="right"/>
              <w:rPr>
                <w:sz w:val="20"/>
                <w:szCs w:val="20"/>
              </w:rPr>
            </w:pPr>
            <w:r w:rsidRPr="00F94E22">
              <w:rPr>
                <w:b/>
                <w:sz w:val="20"/>
                <w:szCs w:val="20"/>
              </w:rPr>
              <w:t>$250,724.43</w:t>
            </w:r>
          </w:p>
        </w:tc>
        <w:tc>
          <w:tcPr>
            <w:tcW w:w="2016" w:type="dxa"/>
            <w:tcBorders>
              <w:bottom w:val="single" w:sz="4" w:space="0" w:color="E2E8F0"/>
            </w:tcBorders>
            <w:shd w:val="clear" w:color="auto" w:fill="FFFFFF"/>
            <w:tcMar>
              <w:top w:w="100" w:type="dxa"/>
              <w:left w:w="120" w:type="dxa"/>
              <w:bottom w:w="100" w:type="dxa"/>
              <w:right w:w="120" w:type="dxa"/>
            </w:tcMar>
          </w:tcPr>
          <w:p w14:paraId="13C3C914" w14:textId="77777777" w:rsidR="003530EC" w:rsidRPr="00F94E22" w:rsidRDefault="00000000">
            <w:pPr>
              <w:spacing w:after="0"/>
              <w:jc w:val="right"/>
              <w:rPr>
                <w:sz w:val="20"/>
                <w:szCs w:val="20"/>
              </w:rPr>
            </w:pPr>
            <w:r w:rsidRPr="00F94E22">
              <w:rPr>
                <w:b/>
                <w:sz w:val="20"/>
                <w:szCs w:val="20"/>
              </w:rPr>
              <w:t>$732,228.28</w:t>
            </w:r>
          </w:p>
        </w:tc>
        <w:tc>
          <w:tcPr>
            <w:tcW w:w="2016" w:type="dxa"/>
            <w:tcBorders>
              <w:bottom w:val="single" w:sz="4" w:space="0" w:color="E2E8F0"/>
            </w:tcBorders>
            <w:shd w:val="clear" w:color="auto" w:fill="FFFFFF"/>
            <w:tcMar>
              <w:top w:w="100" w:type="dxa"/>
              <w:left w:w="120" w:type="dxa"/>
              <w:bottom w:w="100" w:type="dxa"/>
              <w:right w:w="120" w:type="dxa"/>
            </w:tcMar>
          </w:tcPr>
          <w:p w14:paraId="5905CB72" w14:textId="77777777" w:rsidR="003530EC" w:rsidRPr="00F94E22" w:rsidRDefault="00000000">
            <w:pPr>
              <w:spacing w:after="0"/>
              <w:jc w:val="right"/>
              <w:rPr>
                <w:sz w:val="20"/>
                <w:szCs w:val="20"/>
              </w:rPr>
            </w:pPr>
            <w:r w:rsidRPr="00F94E22">
              <w:rPr>
                <w:b/>
                <w:sz w:val="20"/>
                <w:szCs w:val="20"/>
              </w:rPr>
              <w:t>$1,342,996.83</w:t>
            </w:r>
          </w:p>
        </w:tc>
      </w:tr>
    </w:tbl>
    <w:p w14:paraId="0B11E04D" w14:textId="77777777" w:rsidR="003530EC" w:rsidRDefault="003530EC">
      <w:pPr>
        <w:spacing w:after="240"/>
      </w:pPr>
    </w:p>
    <w:p w14:paraId="47D6A7A3" w14:textId="77777777" w:rsidR="003530EC" w:rsidRDefault="00000000">
      <w:pPr>
        <w:spacing w:after="120"/>
      </w:pPr>
      <w:r>
        <w:rPr>
          <w:rFonts w:ascii="Arial" w:hAnsi="Arial"/>
          <w:i/>
          <w:color w:val="333333"/>
          <w:sz w:val="21"/>
        </w:rPr>
        <w:t>Table 7: Stress Test Case 10-Year Component Breakdown (8.00% Mortgage Rate, 1.0% Property Growth)</w:t>
      </w:r>
    </w:p>
    <w:tbl>
      <w:tblPr>
        <w:tblW w:w="0" w:type="auto"/>
        <w:jc w:val="center"/>
        <w:tblLook w:val="04A0" w:firstRow="1" w:lastRow="0" w:firstColumn="1" w:lastColumn="0" w:noHBand="0" w:noVBand="1"/>
      </w:tblPr>
      <w:tblGrid>
        <w:gridCol w:w="3408"/>
        <w:gridCol w:w="1974"/>
        <w:gridCol w:w="1989"/>
        <w:gridCol w:w="1989"/>
      </w:tblGrid>
      <w:tr w:rsidR="003530EC" w14:paraId="2829B7BF" w14:textId="77777777">
        <w:trPr>
          <w:jc w:val="center"/>
        </w:trPr>
        <w:tc>
          <w:tcPr>
            <w:tcW w:w="3600" w:type="dxa"/>
            <w:shd w:val="clear" w:color="auto" w:fill="1F3A60"/>
            <w:tcMar>
              <w:top w:w="120" w:type="dxa"/>
              <w:left w:w="120" w:type="dxa"/>
              <w:bottom w:w="120" w:type="dxa"/>
              <w:right w:w="120" w:type="dxa"/>
            </w:tcMar>
          </w:tcPr>
          <w:p w14:paraId="10EA04DD" w14:textId="77777777" w:rsidR="003530EC" w:rsidRDefault="00000000">
            <w:pPr>
              <w:spacing w:after="0"/>
            </w:pPr>
            <w:r>
              <w:rPr>
                <w:rFonts w:ascii="Arial" w:hAnsi="Arial"/>
                <w:b/>
                <w:color w:val="FFFFFF"/>
                <w:sz w:val="19"/>
              </w:rPr>
              <w:t>Balance Sheet Component</w:t>
            </w:r>
          </w:p>
        </w:tc>
        <w:tc>
          <w:tcPr>
            <w:tcW w:w="2016" w:type="dxa"/>
            <w:shd w:val="clear" w:color="auto" w:fill="1F3A60"/>
            <w:tcMar>
              <w:top w:w="120" w:type="dxa"/>
              <w:left w:w="120" w:type="dxa"/>
              <w:bottom w:w="120" w:type="dxa"/>
              <w:right w:w="120" w:type="dxa"/>
            </w:tcMar>
          </w:tcPr>
          <w:p w14:paraId="7CC9544B" w14:textId="77777777" w:rsidR="003530EC" w:rsidRDefault="00000000">
            <w:pPr>
              <w:spacing w:after="0"/>
              <w:jc w:val="right"/>
            </w:pPr>
            <w:r>
              <w:rPr>
                <w:rFonts w:ascii="Arial" w:hAnsi="Arial"/>
                <w:b/>
                <w:color w:val="FFFFFF"/>
                <w:sz w:val="19"/>
              </w:rPr>
              <w:t>Year 0 (Settlement)</w:t>
            </w:r>
          </w:p>
        </w:tc>
        <w:tc>
          <w:tcPr>
            <w:tcW w:w="2016" w:type="dxa"/>
            <w:shd w:val="clear" w:color="auto" w:fill="1F3A60"/>
            <w:tcMar>
              <w:top w:w="120" w:type="dxa"/>
              <w:left w:w="120" w:type="dxa"/>
              <w:bottom w:w="120" w:type="dxa"/>
              <w:right w:w="120" w:type="dxa"/>
            </w:tcMar>
          </w:tcPr>
          <w:p w14:paraId="52B3C26C" w14:textId="77777777" w:rsidR="003530EC" w:rsidRDefault="00000000">
            <w:pPr>
              <w:spacing w:after="0"/>
              <w:jc w:val="right"/>
            </w:pPr>
            <w:r>
              <w:rPr>
                <w:rFonts w:ascii="Arial" w:hAnsi="Arial"/>
                <w:b/>
                <w:color w:val="FFFFFF"/>
                <w:sz w:val="19"/>
              </w:rPr>
              <w:t>Year 5 Post-Purchase</w:t>
            </w:r>
          </w:p>
        </w:tc>
        <w:tc>
          <w:tcPr>
            <w:tcW w:w="2016" w:type="dxa"/>
            <w:shd w:val="clear" w:color="auto" w:fill="1F3A60"/>
            <w:tcMar>
              <w:top w:w="120" w:type="dxa"/>
              <w:left w:w="120" w:type="dxa"/>
              <w:bottom w:w="120" w:type="dxa"/>
              <w:right w:w="120" w:type="dxa"/>
            </w:tcMar>
          </w:tcPr>
          <w:p w14:paraId="553688C4" w14:textId="77777777" w:rsidR="003530EC" w:rsidRDefault="00000000">
            <w:pPr>
              <w:spacing w:after="0"/>
              <w:jc w:val="right"/>
            </w:pPr>
            <w:r>
              <w:rPr>
                <w:rFonts w:ascii="Arial" w:hAnsi="Arial"/>
                <w:b/>
                <w:color w:val="FFFFFF"/>
                <w:sz w:val="19"/>
              </w:rPr>
              <w:t>Year 10 Post-Purchase</w:t>
            </w:r>
          </w:p>
        </w:tc>
      </w:tr>
      <w:tr w:rsidR="003530EC" w14:paraId="0FB030B7"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637AED7B" w14:textId="77777777" w:rsidR="003530EC" w:rsidRDefault="00000000">
            <w:pPr>
              <w:spacing w:after="0"/>
            </w:pPr>
            <w:r>
              <w:t>Property Value (1.0% p.a. Growth)</w:t>
            </w:r>
          </w:p>
        </w:tc>
        <w:tc>
          <w:tcPr>
            <w:tcW w:w="2016" w:type="dxa"/>
            <w:tcBorders>
              <w:bottom w:val="single" w:sz="4" w:space="0" w:color="E2E8F0"/>
            </w:tcBorders>
            <w:shd w:val="clear" w:color="auto" w:fill="F8FAFC"/>
            <w:tcMar>
              <w:top w:w="100" w:type="dxa"/>
              <w:left w:w="120" w:type="dxa"/>
              <w:bottom w:w="100" w:type="dxa"/>
              <w:right w:w="120" w:type="dxa"/>
            </w:tcMar>
          </w:tcPr>
          <w:p w14:paraId="7DF57261" w14:textId="77777777" w:rsidR="003530EC" w:rsidRDefault="00000000">
            <w:pPr>
              <w:spacing w:after="0"/>
              <w:jc w:val="right"/>
            </w:pPr>
            <w:r>
              <w:t>$750,000.00</w:t>
            </w:r>
          </w:p>
        </w:tc>
        <w:tc>
          <w:tcPr>
            <w:tcW w:w="2016" w:type="dxa"/>
            <w:tcBorders>
              <w:bottom w:val="single" w:sz="4" w:space="0" w:color="E2E8F0"/>
            </w:tcBorders>
            <w:shd w:val="clear" w:color="auto" w:fill="F8FAFC"/>
            <w:tcMar>
              <w:top w:w="100" w:type="dxa"/>
              <w:left w:w="120" w:type="dxa"/>
              <w:bottom w:w="100" w:type="dxa"/>
              <w:right w:w="120" w:type="dxa"/>
            </w:tcMar>
          </w:tcPr>
          <w:p w14:paraId="4C31E641" w14:textId="77777777" w:rsidR="003530EC" w:rsidRDefault="00000000">
            <w:pPr>
              <w:spacing w:after="0"/>
              <w:jc w:val="right"/>
            </w:pPr>
            <w:r>
              <w:t>$788,436.91</w:t>
            </w:r>
          </w:p>
        </w:tc>
        <w:tc>
          <w:tcPr>
            <w:tcW w:w="2016" w:type="dxa"/>
            <w:tcBorders>
              <w:bottom w:val="single" w:sz="4" w:space="0" w:color="E2E8F0"/>
            </w:tcBorders>
            <w:shd w:val="clear" w:color="auto" w:fill="F8FAFC"/>
            <w:tcMar>
              <w:top w:w="100" w:type="dxa"/>
              <w:left w:w="120" w:type="dxa"/>
              <w:bottom w:w="100" w:type="dxa"/>
              <w:right w:w="120" w:type="dxa"/>
            </w:tcMar>
          </w:tcPr>
          <w:p w14:paraId="315B1E8F" w14:textId="77777777" w:rsidR="003530EC" w:rsidRDefault="00000000">
            <w:pPr>
              <w:spacing w:after="0"/>
              <w:jc w:val="right"/>
            </w:pPr>
            <w:r>
              <w:t>$828,843.67</w:t>
            </w:r>
          </w:p>
        </w:tc>
      </w:tr>
      <w:tr w:rsidR="003530EC" w14:paraId="35F6E25D"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75498B02" w14:textId="77777777" w:rsidR="003530EC" w:rsidRDefault="00000000">
            <w:pPr>
              <w:spacing w:after="0"/>
            </w:pPr>
            <w:r>
              <w:t>Managed Funds (6.0% p.a. Growth)</w:t>
            </w:r>
          </w:p>
        </w:tc>
        <w:tc>
          <w:tcPr>
            <w:tcW w:w="2016" w:type="dxa"/>
            <w:tcBorders>
              <w:bottom w:val="single" w:sz="4" w:space="0" w:color="E2E8F0"/>
            </w:tcBorders>
            <w:shd w:val="clear" w:color="auto" w:fill="FFFFFF"/>
            <w:tcMar>
              <w:top w:w="100" w:type="dxa"/>
              <w:left w:w="120" w:type="dxa"/>
              <w:bottom w:w="100" w:type="dxa"/>
              <w:right w:w="120" w:type="dxa"/>
            </w:tcMar>
          </w:tcPr>
          <w:p w14:paraId="2166C437" w14:textId="77777777" w:rsidR="003530EC" w:rsidRDefault="00000000">
            <w:pPr>
              <w:spacing w:after="0"/>
              <w:jc w:val="right"/>
            </w:pPr>
            <w:r>
              <w:t>$50,724.43</w:t>
            </w:r>
          </w:p>
        </w:tc>
        <w:tc>
          <w:tcPr>
            <w:tcW w:w="2016" w:type="dxa"/>
            <w:tcBorders>
              <w:bottom w:val="single" w:sz="4" w:space="0" w:color="E2E8F0"/>
            </w:tcBorders>
            <w:shd w:val="clear" w:color="auto" w:fill="FFFFFF"/>
            <w:tcMar>
              <w:top w:w="100" w:type="dxa"/>
              <w:left w:w="120" w:type="dxa"/>
              <w:bottom w:w="100" w:type="dxa"/>
              <w:right w:w="120" w:type="dxa"/>
            </w:tcMar>
          </w:tcPr>
          <w:p w14:paraId="7E822873" w14:textId="77777777" w:rsidR="003530EC" w:rsidRDefault="00000000">
            <w:pPr>
              <w:spacing w:after="0"/>
              <w:jc w:val="right"/>
            </w:pPr>
            <w:r>
              <w:t>$68,419.66</w:t>
            </w:r>
          </w:p>
        </w:tc>
        <w:tc>
          <w:tcPr>
            <w:tcW w:w="2016" w:type="dxa"/>
            <w:tcBorders>
              <w:bottom w:val="single" w:sz="4" w:space="0" w:color="E2E8F0"/>
            </w:tcBorders>
            <w:shd w:val="clear" w:color="auto" w:fill="FFFFFF"/>
            <w:tcMar>
              <w:top w:w="100" w:type="dxa"/>
              <w:left w:w="120" w:type="dxa"/>
              <w:bottom w:w="100" w:type="dxa"/>
              <w:right w:w="120" w:type="dxa"/>
            </w:tcMar>
          </w:tcPr>
          <w:p w14:paraId="6256C600" w14:textId="77777777" w:rsidR="003530EC" w:rsidRDefault="00000000">
            <w:pPr>
              <w:spacing w:after="0"/>
              <w:jc w:val="right"/>
            </w:pPr>
            <w:r>
              <w:t>$92,287.86</w:t>
            </w:r>
          </w:p>
        </w:tc>
      </w:tr>
      <w:tr w:rsidR="003530EC" w14:paraId="161F5FEE"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5B56E6FF" w14:textId="77777777" w:rsidR="003530EC" w:rsidRDefault="00000000">
            <w:pPr>
              <w:spacing w:after="0"/>
            </w:pPr>
            <w:r>
              <w:t>Offset Cash Balance ($1.6k/mo surplus + interest)</w:t>
            </w:r>
          </w:p>
        </w:tc>
        <w:tc>
          <w:tcPr>
            <w:tcW w:w="2016" w:type="dxa"/>
            <w:tcBorders>
              <w:bottom w:val="single" w:sz="4" w:space="0" w:color="E2E8F0"/>
            </w:tcBorders>
            <w:shd w:val="clear" w:color="auto" w:fill="F8FAFC"/>
            <w:tcMar>
              <w:top w:w="100" w:type="dxa"/>
              <w:left w:w="120" w:type="dxa"/>
              <w:bottom w:w="100" w:type="dxa"/>
              <w:right w:w="120" w:type="dxa"/>
            </w:tcMar>
          </w:tcPr>
          <w:p w14:paraId="2FE89CFA" w14:textId="77777777" w:rsidR="003530EC" w:rsidRDefault="00000000">
            <w:pPr>
              <w:spacing w:after="0"/>
              <w:jc w:val="right"/>
            </w:pPr>
            <w:r>
              <w:t>$50,000.00</w:t>
            </w:r>
          </w:p>
        </w:tc>
        <w:tc>
          <w:tcPr>
            <w:tcW w:w="2016" w:type="dxa"/>
            <w:tcBorders>
              <w:bottom w:val="single" w:sz="4" w:space="0" w:color="E2E8F0"/>
            </w:tcBorders>
            <w:shd w:val="clear" w:color="auto" w:fill="F8FAFC"/>
            <w:tcMar>
              <w:top w:w="100" w:type="dxa"/>
              <w:left w:w="120" w:type="dxa"/>
              <w:bottom w:w="100" w:type="dxa"/>
              <w:right w:w="120" w:type="dxa"/>
            </w:tcMar>
          </w:tcPr>
          <w:p w14:paraId="09DB0295" w14:textId="77777777" w:rsidR="003530EC" w:rsidRDefault="00000000">
            <w:pPr>
              <w:spacing w:after="0"/>
              <w:jc w:val="right"/>
            </w:pPr>
            <w:r>
              <w:t>$146,466.80</w:t>
            </w:r>
          </w:p>
        </w:tc>
        <w:tc>
          <w:tcPr>
            <w:tcW w:w="2016" w:type="dxa"/>
            <w:tcBorders>
              <w:bottom w:val="single" w:sz="4" w:space="0" w:color="E2E8F0"/>
            </w:tcBorders>
            <w:shd w:val="clear" w:color="auto" w:fill="F8FAFC"/>
            <w:tcMar>
              <w:top w:w="100" w:type="dxa"/>
              <w:left w:w="120" w:type="dxa"/>
              <w:bottom w:w="100" w:type="dxa"/>
              <w:right w:w="120" w:type="dxa"/>
            </w:tcMar>
          </w:tcPr>
          <w:p w14:paraId="31FEC6DA" w14:textId="77777777" w:rsidR="003530EC" w:rsidRDefault="00000000">
            <w:pPr>
              <w:spacing w:after="0"/>
              <w:jc w:val="right"/>
            </w:pPr>
            <w:r>
              <w:t>$242,933.60</w:t>
            </w:r>
          </w:p>
        </w:tc>
      </w:tr>
      <w:tr w:rsidR="003530EC" w14:paraId="4C356B32"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4CAFF2EB" w14:textId="77777777" w:rsidR="003530EC" w:rsidRDefault="00000000">
            <w:pPr>
              <w:spacing w:after="0"/>
            </w:pPr>
            <w:r>
              <w:rPr>
                <w:b/>
              </w:rPr>
              <w:t>Total Accessible Assets (A)</w:t>
            </w:r>
          </w:p>
        </w:tc>
        <w:tc>
          <w:tcPr>
            <w:tcW w:w="2016" w:type="dxa"/>
            <w:tcBorders>
              <w:bottom w:val="single" w:sz="4" w:space="0" w:color="E2E8F0"/>
            </w:tcBorders>
            <w:shd w:val="clear" w:color="auto" w:fill="FFFFFF"/>
            <w:tcMar>
              <w:top w:w="100" w:type="dxa"/>
              <w:left w:w="120" w:type="dxa"/>
              <w:bottom w:w="100" w:type="dxa"/>
              <w:right w:w="120" w:type="dxa"/>
            </w:tcMar>
          </w:tcPr>
          <w:p w14:paraId="150709D3" w14:textId="77777777" w:rsidR="003530EC" w:rsidRDefault="00000000">
            <w:pPr>
              <w:spacing w:after="0"/>
              <w:jc w:val="right"/>
            </w:pPr>
            <w:r>
              <w:rPr>
                <w:b/>
              </w:rPr>
              <w:t>$850,724.43</w:t>
            </w:r>
          </w:p>
        </w:tc>
        <w:tc>
          <w:tcPr>
            <w:tcW w:w="2016" w:type="dxa"/>
            <w:tcBorders>
              <w:bottom w:val="single" w:sz="4" w:space="0" w:color="E2E8F0"/>
            </w:tcBorders>
            <w:shd w:val="clear" w:color="auto" w:fill="FFFFFF"/>
            <w:tcMar>
              <w:top w:w="100" w:type="dxa"/>
              <w:left w:w="120" w:type="dxa"/>
              <w:bottom w:w="100" w:type="dxa"/>
              <w:right w:w="120" w:type="dxa"/>
            </w:tcMar>
          </w:tcPr>
          <w:p w14:paraId="4A109F12" w14:textId="77777777" w:rsidR="003530EC" w:rsidRDefault="00000000">
            <w:pPr>
              <w:spacing w:after="0"/>
              <w:jc w:val="right"/>
            </w:pPr>
            <w:r>
              <w:rPr>
                <w:b/>
              </w:rPr>
              <w:t>$1,001,323.37</w:t>
            </w:r>
          </w:p>
        </w:tc>
        <w:tc>
          <w:tcPr>
            <w:tcW w:w="2016" w:type="dxa"/>
            <w:tcBorders>
              <w:bottom w:val="single" w:sz="4" w:space="0" w:color="E2E8F0"/>
            </w:tcBorders>
            <w:shd w:val="clear" w:color="auto" w:fill="FFFFFF"/>
            <w:tcMar>
              <w:top w:w="100" w:type="dxa"/>
              <w:left w:w="120" w:type="dxa"/>
              <w:bottom w:w="100" w:type="dxa"/>
              <w:right w:w="120" w:type="dxa"/>
            </w:tcMar>
          </w:tcPr>
          <w:p w14:paraId="7AB350F3" w14:textId="77777777" w:rsidR="003530EC" w:rsidRDefault="00000000">
            <w:pPr>
              <w:spacing w:after="0"/>
              <w:jc w:val="right"/>
            </w:pPr>
            <w:r>
              <w:rPr>
                <w:b/>
              </w:rPr>
              <w:t>$1,164,065.13</w:t>
            </w:r>
          </w:p>
        </w:tc>
      </w:tr>
      <w:tr w:rsidR="003530EC" w14:paraId="008E3356"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385E2CD0" w14:textId="77777777" w:rsidR="003530EC" w:rsidRDefault="00000000">
            <w:pPr>
              <w:spacing w:after="0"/>
            </w:pPr>
            <w:r>
              <w:t>Remaining Mortgage Loan (B)</w:t>
            </w:r>
          </w:p>
        </w:tc>
        <w:tc>
          <w:tcPr>
            <w:tcW w:w="2016" w:type="dxa"/>
            <w:tcBorders>
              <w:bottom w:val="single" w:sz="4" w:space="0" w:color="E2E8F0"/>
            </w:tcBorders>
            <w:shd w:val="clear" w:color="auto" w:fill="F8FAFC"/>
            <w:tcMar>
              <w:top w:w="100" w:type="dxa"/>
              <w:left w:w="120" w:type="dxa"/>
              <w:bottom w:w="100" w:type="dxa"/>
              <w:right w:w="120" w:type="dxa"/>
            </w:tcMar>
          </w:tcPr>
          <w:p w14:paraId="0FEA04A0" w14:textId="77777777" w:rsidR="003530EC" w:rsidRDefault="00000000">
            <w:pPr>
              <w:spacing w:after="0"/>
              <w:jc w:val="right"/>
            </w:pPr>
            <w:r>
              <w:t>-$600,000.00</w:t>
            </w:r>
          </w:p>
        </w:tc>
        <w:tc>
          <w:tcPr>
            <w:tcW w:w="2016" w:type="dxa"/>
            <w:tcBorders>
              <w:bottom w:val="single" w:sz="4" w:space="0" w:color="E2E8F0"/>
            </w:tcBorders>
            <w:shd w:val="clear" w:color="auto" w:fill="F8FAFC"/>
            <w:tcMar>
              <w:top w:w="100" w:type="dxa"/>
              <w:left w:w="120" w:type="dxa"/>
              <w:bottom w:w="100" w:type="dxa"/>
              <w:right w:w="120" w:type="dxa"/>
            </w:tcMar>
          </w:tcPr>
          <w:p w14:paraId="1FC03888" w14:textId="77777777" w:rsidR="003530EC" w:rsidRDefault="00000000">
            <w:pPr>
              <w:spacing w:after="0"/>
              <w:jc w:val="right"/>
            </w:pPr>
            <w:r>
              <w:t>-$524,259.58</w:t>
            </w:r>
          </w:p>
        </w:tc>
        <w:tc>
          <w:tcPr>
            <w:tcW w:w="2016" w:type="dxa"/>
            <w:tcBorders>
              <w:bottom w:val="single" w:sz="4" w:space="0" w:color="E2E8F0"/>
            </w:tcBorders>
            <w:shd w:val="clear" w:color="auto" w:fill="F8FAFC"/>
            <w:tcMar>
              <w:top w:w="100" w:type="dxa"/>
              <w:left w:w="120" w:type="dxa"/>
              <w:bottom w:w="100" w:type="dxa"/>
              <w:right w:w="120" w:type="dxa"/>
            </w:tcMar>
          </w:tcPr>
          <w:p w14:paraId="2C457B0C" w14:textId="77777777" w:rsidR="003530EC" w:rsidRDefault="00000000">
            <w:pPr>
              <w:spacing w:after="0"/>
              <w:jc w:val="right"/>
            </w:pPr>
            <w:r>
              <w:t>-$364,164.20</w:t>
            </w:r>
          </w:p>
        </w:tc>
      </w:tr>
      <w:tr w:rsidR="003530EC" w14:paraId="56E370C7"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6A5411A7" w14:textId="77777777" w:rsidR="003530EC" w:rsidRDefault="00000000">
            <w:pPr>
              <w:spacing w:after="0"/>
            </w:pPr>
            <w:r>
              <w:rPr>
                <w:b/>
              </w:rPr>
              <w:t>Accessible Net Worth (A - B)</w:t>
            </w:r>
          </w:p>
        </w:tc>
        <w:tc>
          <w:tcPr>
            <w:tcW w:w="2016" w:type="dxa"/>
            <w:tcBorders>
              <w:bottom w:val="single" w:sz="4" w:space="0" w:color="E2E8F0"/>
            </w:tcBorders>
            <w:shd w:val="clear" w:color="auto" w:fill="FFFFFF"/>
            <w:tcMar>
              <w:top w:w="100" w:type="dxa"/>
              <w:left w:w="120" w:type="dxa"/>
              <w:bottom w:w="100" w:type="dxa"/>
              <w:right w:w="120" w:type="dxa"/>
            </w:tcMar>
          </w:tcPr>
          <w:p w14:paraId="36362257" w14:textId="77777777" w:rsidR="003530EC" w:rsidRDefault="00000000">
            <w:pPr>
              <w:spacing w:after="0"/>
              <w:jc w:val="right"/>
            </w:pPr>
            <w:r>
              <w:rPr>
                <w:b/>
              </w:rPr>
              <w:t>$250,724.43</w:t>
            </w:r>
          </w:p>
        </w:tc>
        <w:tc>
          <w:tcPr>
            <w:tcW w:w="2016" w:type="dxa"/>
            <w:tcBorders>
              <w:bottom w:val="single" w:sz="4" w:space="0" w:color="E2E8F0"/>
            </w:tcBorders>
            <w:shd w:val="clear" w:color="auto" w:fill="FFFFFF"/>
            <w:tcMar>
              <w:top w:w="100" w:type="dxa"/>
              <w:left w:w="120" w:type="dxa"/>
              <w:bottom w:w="100" w:type="dxa"/>
              <w:right w:w="120" w:type="dxa"/>
            </w:tcMar>
          </w:tcPr>
          <w:p w14:paraId="55D02D69" w14:textId="77777777" w:rsidR="003530EC" w:rsidRDefault="00000000">
            <w:pPr>
              <w:spacing w:after="0"/>
              <w:jc w:val="right"/>
            </w:pPr>
            <w:r>
              <w:rPr>
                <w:b/>
              </w:rPr>
              <w:t>$479,063.78</w:t>
            </w:r>
          </w:p>
        </w:tc>
        <w:tc>
          <w:tcPr>
            <w:tcW w:w="2016" w:type="dxa"/>
            <w:tcBorders>
              <w:bottom w:val="single" w:sz="4" w:space="0" w:color="E2E8F0"/>
            </w:tcBorders>
            <w:shd w:val="clear" w:color="auto" w:fill="FFFFFF"/>
            <w:tcMar>
              <w:top w:w="100" w:type="dxa"/>
              <w:left w:w="120" w:type="dxa"/>
              <w:bottom w:w="100" w:type="dxa"/>
              <w:right w:w="120" w:type="dxa"/>
            </w:tcMar>
          </w:tcPr>
          <w:p w14:paraId="2E6AEBC3" w14:textId="77777777" w:rsidR="003530EC" w:rsidRDefault="00000000">
            <w:pPr>
              <w:spacing w:after="0"/>
              <w:jc w:val="right"/>
            </w:pPr>
            <w:r>
              <w:rPr>
                <w:b/>
              </w:rPr>
              <w:t>$799,900.94</w:t>
            </w:r>
          </w:p>
        </w:tc>
      </w:tr>
    </w:tbl>
    <w:p w14:paraId="6E6A736F" w14:textId="77777777" w:rsidR="003530EC" w:rsidRDefault="003530EC">
      <w:pPr>
        <w:spacing w:after="240"/>
      </w:pPr>
    </w:p>
    <w:p w14:paraId="04DB4DCF" w14:textId="77777777" w:rsidR="003530EC" w:rsidRDefault="00000000">
      <w:pPr>
        <w:keepNext/>
        <w:spacing w:before="240" w:after="80"/>
      </w:pPr>
      <w:r>
        <w:rPr>
          <w:rFonts w:ascii="Arial" w:hAnsi="Arial"/>
          <w:b/>
          <w:color w:val="0F766E"/>
          <w:sz w:val="24"/>
        </w:rPr>
        <w:t>6.1.3 Alternative Strategy – Balanced Wealth Accumulation (Vanguard Regular Contributions)</w:t>
      </w:r>
    </w:p>
    <w:p w14:paraId="6C44A1A3" w14:textId="5435E923" w:rsidR="003530EC" w:rsidRDefault="00000000">
      <w:pPr>
        <w:spacing w:after="120"/>
      </w:pPr>
      <w:r>
        <w:rPr>
          <w:rFonts w:ascii="Arial" w:hAnsi="Arial"/>
          <w:color w:val="333333"/>
          <w:sz w:val="21"/>
        </w:rPr>
        <w:t xml:space="preserve">The </w:t>
      </w:r>
      <w:r w:rsidR="00F94E22">
        <w:rPr>
          <w:rFonts w:ascii="Arial" w:hAnsi="Arial"/>
          <w:color w:val="333333"/>
          <w:sz w:val="21"/>
        </w:rPr>
        <w:t>previous</w:t>
      </w:r>
      <w:r>
        <w:rPr>
          <w:rFonts w:ascii="Arial" w:hAnsi="Arial"/>
          <w:color w:val="333333"/>
          <w:sz w:val="21"/>
        </w:rPr>
        <w:t xml:space="preserve"> simulation model assumes that 100% of post-purchase surplus cash flow is directed to the mortgage offset account, leaving my long-term investment portfolio static. </w:t>
      </w:r>
    </w:p>
    <w:p w14:paraId="1FF9E733" w14:textId="4F5955CD" w:rsidR="003530EC" w:rsidRDefault="00000000">
      <w:pPr>
        <w:spacing w:after="120"/>
      </w:pPr>
      <w:r>
        <w:rPr>
          <w:rFonts w:ascii="Arial" w:hAnsi="Arial"/>
          <w:color w:val="333333"/>
          <w:sz w:val="21"/>
        </w:rPr>
        <w:t xml:space="preserve">To evaluate the trade-off between debt reduction and wealth creation, a second scenario (Strategy B) has been simulated: </w:t>
      </w:r>
      <w:r w:rsidR="00F94E22">
        <w:rPr>
          <w:rFonts w:ascii="Arial" w:hAnsi="Arial"/>
          <w:color w:val="333333"/>
          <w:sz w:val="21"/>
        </w:rPr>
        <w:t>it</w:t>
      </w:r>
      <w:r>
        <w:rPr>
          <w:rFonts w:ascii="Arial" w:hAnsi="Arial"/>
          <w:color w:val="333333"/>
          <w:sz w:val="21"/>
        </w:rPr>
        <w:t xml:space="preserve"> establish</w:t>
      </w:r>
      <w:r w:rsidR="00F94E22">
        <w:rPr>
          <w:rFonts w:ascii="Arial" w:hAnsi="Arial"/>
          <w:color w:val="333333"/>
          <w:sz w:val="21"/>
        </w:rPr>
        <w:t>es</w:t>
      </w:r>
      <w:r>
        <w:rPr>
          <w:rFonts w:ascii="Arial" w:hAnsi="Arial"/>
          <w:color w:val="333333"/>
          <w:sz w:val="21"/>
        </w:rPr>
        <w:t xml:space="preserve"> an automatic monthly contribution of $500.00 </w:t>
      </w:r>
      <w:r w:rsidR="00F94E22">
        <w:rPr>
          <w:rFonts w:ascii="Arial" w:hAnsi="Arial"/>
          <w:color w:val="333333"/>
          <w:sz w:val="21"/>
        </w:rPr>
        <w:t xml:space="preserve">minimum </w:t>
      </w:r>
      <w:r>
        <w:rPr>
          <w:rFonts w:ascii="Arial" w:hAnsi="Arial"/>
          <w:color w:val="333333"/>
          <w:sz w:val="21"/>
        </w:rPr>
        <w:t xml:space="preserve">into </w:t>
      </w:r>
      <w:r w:rsidR="00F94E22">
        <w:rPr>
          <w:rFonts w:ascii="Arial" w:hAnsi="Arial"/>
          <w:color w:val="333333"/>
          <w:sz w:val="21"/>
        </w:rPr>
        <w:t>investments,</w:t>
      </w:r>
      <w:r>
        <w:rPr>
          <w:rFonts w:ascii="Arial" w:hAnsi="Arial"/>
          <w:color w:val="333333"/>
          <w:sz w:val="21"/>
        </w:rPr>
        <w:t xml:space="preserve"> while the remaining surplus cash flow ($3,513.06/mo in the Base Case) is directed to the offset account. The results at Year 10 reveal a clear financial trade-off:</w:t>
      </w:r>
    </w:p>
    <w:p w14:paraId="5127421A" w14:textId="77777777" w:rsidR="003530EC" w:rsidRDefault="00000000">
      <w:pPr>
        <w:spacing w:after="120"/>
      </w:pPr>
      <w:r>
        <w:rPr>
          <w:rFonts w:ascii="Arial" w:hAnsi="Arial"/>
          <w:i/>
          <w:color w:val="333333"/>
          <w:sz w:val="21"/>
        </w:rPr>
        <w:t>Table 8: Strategic Comparison at Year 10 (Base Case Projections)</w:t>
      </w:r>
    </w:p>
    <w:tbl>
      <w:tblPr>
        <w:tblW w:w="0" w:type="auto"/>
        <w:jc w:val="center"/>
        <w:tblLook w:val="04A0" w:firstRow="1" w:lastRow="0" w:firstColumn="1" w:lastColumn="0" w:noHBand="0" w:noVBand="1"/>
      </w:tblPr>
      <w:tblGrid>
        <w:gridCol w:w="3600"/>
        <w:gridCol w:w="2880"/>
        <w:gridCol w:w="2880"/>
      </w:tblGrid>
      <w:tr w:rsidR="003530EC" w14:paraId="566D5116" w14:textId="77777777">
        <w:trPr>
          <w:jc w:val="center"/>
        </w:trPr>
        <w:tc>
          <w:tcPr>
            <w:tcW w:w="3600" w:type="dxa"/>
            <w:shd w:val="clear" w:color="auto" w:fill="1F3A60"/>
            <w:tcMar>
              <w:top w:w="120" w:type="dxa"/>
              <w:left w:w="120" w:type="dxa"/>
              <w:bottom w:w="120" w:type="dxa"/>
              <w:right w:w="120" w:type="dxa"/>
            </w:tcMar>
          </w:tcPr>
          <w:p w14:paraId="6A1FD096" w14:textId="77777777" w:rsidR="003530EC" w:rsidRDefault="00000000">
            <w:pPr>
              <w:spacing w:after="0"/>
            </w:pPr>
            <w:r>
              <w:rPr>
                <w:rFonts w:ascii="Arial" w:hAnsi="Arial"/>
                <w:b/>
                <w:color w:val="FFFFFF"/>
                <w:sz w:val="19"/>
              </w:rPr>
              <w:t>Strategic Metric</w:t>
            </w:r>
          </w:p>
        </w:tc>
        <w:tc>
          <w:tcPr>
            <w:tcW w:w="2880" w:type="dxa"/>
            <w:shd w:val="clear" w:color="auto" w:fill="1F3A60"/>
            <w:tcMar>
              <w:top w:w="120" w:type="dxa"/>
              <w:left w:w="120" w:type="dxa"/>
              <w:bottom w:w="120" w:type="dxa"/>
              <w:right w:w="120" w:type="dxa"/>
            </w:tcMar>
          </w:tcPr>
          <w:p w14:paraId="6191EEF8" w14:textId="77777777" w:rsidR="003530EC" w:rsidRDefault="00000000">
            <w:pPr>
              <w:spacing w:after="0"/>
              <w:jc w:val="right"/>
            </w:pPr>
            <w:r>
              <w:rPr>
                <w:rFonts w:ascii="Arial" w:hAnsi="Arial"/>
                <w:b/>
                <w:color w:val="FFFFFF"/>
                <w:sz w:val="19"/>
              </w:rPr>
              <w:t>Strategy A: Offset-Priority</w:t>
            </w:r>
          </w:p>
        </w:tc>
        <w:tc>
          <w:tcPr>
            <w:tcW w:w="2880" w:type="dxa"/>
            <w:shd w:val="clear" w:color="auto" w:fill="1F3A60"/>
            <w:tcMar>
              <w:top w:w="120" w:type="dxa"/>
              <w:left w:w="120" w:type="dxa"/>
              <w:bottom w:w="120" w:type="dxa"/>
              <w:right w:w="120" w:type="dxa"/>
            </w:tcMar>
          </w:tcPr>
          <w:p w14:paraId="36899030" w14:textId="77777777" w:rsidR="003530EC" w:rsidRDefault="00000000">
            <w:pPr>
              <w:spacing w:after="0"/>
              <w:jc w:val="right"/>
            </w:pPr>
            <w:r>
              <w:rPr>
                <w:rFonts w:ascii="Arial" w:hAnsi="Arial"/>
                <w:b/>
                <w:color w:val="FFFFFF"/>
                <w:sz w:val="19"/>
              </w:rPr>
              <w:t>Strategy B: Balanced (Vanguard RSP)</w:t>
            </w:r>
          </w:p>
        </w:tc>
      </w:tr>
      <w:tr w:rsidR="003530EC" w14:paraId="5E42FA7A"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3ACC960E" w14:textId="77777777" w:rsidR="003530EC" w:rsidRDefault="00000000">
            <w:pPr>
              <w:spacing w:after="0"/>
            </w:pPr>
            <w:r>
              <w:t>Vanguard Fund Balance (Year 10)</w:t>
            </w:r>
          </w:p>
        </w:tc>
        <w:tc>
          <w:tcPr>
            <w:tcW w:w="2880" w:type="dxa"/>
            <w:tcBorders>
              <w:bottom w:val="single" w:sz="4" w:space="0" w:color="E2E8F0"/>
            </w:tcBorders>
            <w:shd w:val="clear" w:color="auto" w:fill="F8FAFC"/>
            <w:tcMar>
              <w:top w:w="100" w:type="dxa"/>
              <w:left w:w="120" w:type="dxa"/>
              <w:bottom w:w="100" w:type="dxa"/>
              <w:right w:w="120" w:type="dxa"/>
            </w:tcMar>
          </w:tcPr>
          <w:p w14:paraId="55A5617D" w14:textId="77777777" w:rsidR="003530EC" w:rsidRDefault="00000000">
            <w:pPr>
              <w:spacing w:after="0"/>
              <w:jc w:val="right"/>
            </w:pPr>
            <w:r>
              <w:t>$101,938.93</w:t>
            </w:r>
          </w:p>
        </w:tc>
        <w:tc>
          <w:tcPr>
            <w:tcW w:w="2880" w:type="dxa"/>
            <w:tcBorders>
              <w:bottom w:val="single" w:sz="4" w:space="0" w:color="E2E8F0"/>
            </w:tcBorders>
            <w:shd w:val="clear" w:color="auto" w:fill="F8FAFC"/>
            <w:tcMar>
              <w:top w:w="100" w:type="dxa"/>
              <w:left w:w="120" w:type="dxa"/>
              <w:bottom w:w="100" w:type="dxa"/>
              <w:right w:w="120" w:type="dxa"/>
            </w:tcMar>
          </w:tcPr>
          <w:p w14:paraId="4499E069" w14:textId="77777777" w:rsidR="003530EC" w:rsidRDefault="00000000">
            <w:pPr>
              <w:spacing w:after="0"/>
              <w:jc w:val="right"/>
            </w:pPr>
            <w:r>
              <w:t>$196,098.45</w:t>
            </w:r>
          </w:p>
        </w:tc>
      </w:tr>
      <w:tr w:rsidR="003530EC" w14:paraId="7129FF92"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4A900E75" w14:textId="77777777" w:rsidR="003530EC" w:rsidRDefault="00000000">
            <w:pPr>
              <w:spacing w:after="0"/>
            </w:pPr>
            <w:r>
              <w:t>Offset Cash Balance (Year 10)</w:t>
            </w:r>
          </w:p>
        </w:tc>
        <w:tc>
          <w:tcPr>
            <w:tcW w:w="2880" w:type="dxa"/>
            <w:tcBorders>
              <w:bottom w:val="single" w:sz="4" w:space="0" w:color="E2E8F0"/>
            </w:tcBorders>
            <w:shd w:val="clear" w:color="auto" w:fill="FFFFFF"/>
            <w:tcMar>
              <w:top w:w="100" w:type="dxa"/>
              <w:left w:w="120" w:type="dxa"/>
              <w:bottom w:w="100" w:type="dxa"/>
              <w:right w:w="120" w:type="dxa"/>
            </w:tcMar>
          </w:tcPr>
          <w:p w14:paraId="13878D2D" w14:textId="77777777" w:rsidR="003530EC" w:rsidRDefault="00000000">
            <w:pPr>
              <w:spacing w:after="0"/>
              <w:jc w:val="right"/>
            </w:pPr>
            <w:r>
              <w:t>$531,567.20</w:t>
            </w:r>
          </w:p>
        </w:tc>
        <w:tc>
          <w:tcPr>
            <w:tcW w:w="2880" w:type="dxa"/>
            <w:tcBorders>
              <w:bottom w:val="single" w:sz="4" w:space="0" w:color="E2E8F0"/>
            </w:tcBorders>
            <w:shd w:val="clear" w:color="auto" w:fill="FFFFFF"/>
            <w:tcMar>
              <w:top w:w="100" w:type="dxa"/>
              <w:left w:w="120" w:type="dxa"/>
              <w:bottom w:w="100" w:type="dxa"/>
              <w:right w:w="120" w:type="dxa"/>
            </w:tcMar>
          </w:tcPr>
          <w:p w14:paraId="523FB5B0" w14:textId="77777777" w:rsidR="003530EC" w:rsidRDefault="00000000">
            <w:pPr>
              <w:spacing w:after="0"/>
              <w:jc w:val="right"/>
            </w:pPr>
            <w:r>
              <w:t>$471,567.20</w:t>
            </w:r>
          </w:p>
        </w:tc>
      </w:tr>
      <w:tr w:rsidR="003530EC" w14:paraId="7418D3A5"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733E6DAF" w14:textId="77777777" w:rsidR="003530EC" w:rsidRDefault="00000000">
            <w:pPr>
              <w:spacing w:after="0"/>
            </w:pPr>
            <w:r>
              <w:t>Remaining Mortgage Loan (Year 10)</w:t>
            </w:r>
          </w:p>
        </w:tc>
        <w:tc>
          <w:tcPr>
            <w:tcW w:w="2880" w:type="dxa"/>
            <w:tcBorders>
              <w:bottom w:val="single" w:sz="4" w:space="0" w:color="E2E8F0"/>
            </w:tcBorders>
            <w:shd w:val="clear" w:color="auto" w:fill="F8FAFC"/>
            <w:tcMar>
              <w:top w:w="100" w:type="dxa"/>
              <w:left w:w="120" w:type="dxa"/>
              <w:bottom w:w="100" w:type="dxa"/>
              <w:right w:w="120" w:type="dxa"/>
            </w:tcMar>
          </w:tcPr>
          <w:p w14:paraId="3D02D71F" w14:textId="77777777" w:rsidR="003530EC" w:rsidRDefault="00000000">
            <w:pPr>
              <w:spacing w:after="0"/>
              <w:jc w:val="right"/>
            </w:pPr>
            <w:r>
              <w:t>-$302,524.46</w:t>
            </w:r>
          </w:p>
        </w:tc>
        <w:tc>
          <w:tcPr>
            <w:tcW w:w="2880" w:type="dxa"/>
            <w:tcBorders>
              <w:bottom w:val="single" w:sz="4" w:space="0" w:color="E2E8F0"/>
            </w:tcBorders>
            <w:shd w:val="clear" w:color="auto" w:fill="F8FAFC"/>
            <w:tcMar>
              <w:top w:w="100" w:type="dxa"/>
              <w:left w:w="120" w:type="dxa"/>
              <w:bottom w:w="100" w:type="dxa"/>
              <w:right w:w="120" w:type="dxa"/>
            </w:tcMar>
          </w:tcPr>
          <w:p w14:paraId="3103A68A" w14:textId="77777777" w:rsidR="003530EC" w:rsidRDefault="00000000">
            <w:pPr>
              <w:spacing w:after="0"/>
              <w:jc w:val="right"/>
            </w:pPr>
            <w:r>
              <w:t>-$315,452.50</w:t>
            </w:r>
          </w:p>
        </w:tc>
      </w:tr>
      <w:tr w:rsidR="003530EC" w14:paraId="1B216362"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777C6723" w14:textId="77777777" w:rsidR="003530EC" w:rsidRDefault="00000000">
            <w:pPr>
              <w:spacing w:after="0"/>
            </w:pPr>
            <w:r>
              <w:rPr>
                <w:b/>
              </w:rPr>
              <w:t>Accessible Net Worth (Year 10)</w:t>
            </w:r>
          </w:p>
        </w:tc>
        <w:tc>
          <w:tcPr>
            <w:tcW w:w="2880" w:type="dxa"/>
            <w:tcBorders>
              <w:bottom w:val="single" w:sz="4" w:space="0" w:color="E2E8F0"/>
            </w:tcBorders>
            <w:shd w:val="clear" w:color="auto" w:fill="FFFFFF"/>
            <w:tcMar>
              <w:top w:w="100" w:type="dxa"/>
              <w:left w:w="120" w:type="dxa"/>
              <w:bottom w:w="100" w:type="dxa"/>
              <w:right w:w="120" w:type="dxa"/>
            </w:tcMar>
          </w:tcPr>
          <w:p w14:paraId="7A8D8FD7" w14:textId="77777777" w:rsidR="003530EC" w:rsidRDefault="00000000">
            <w:pPr>
              <w:spacing w:after="0"/>
              <w:jc w:val="right"/>
            </w:pPr>
            <w:r>
              <w:rPr>
                <w:b/>
              </w:rPr>
              <w:t>$1,342,996.83</w:t>
            </w:r>
          </w:p>
        </w:tc>
        <w:tc>
          <w:tcPr>
            <w:tcW w:w="2880" w:type="dxa"/>
            <w:tcBorders>
              <w:bottom w:val="single" w:sz="4" w:space="0" w:color="E2E8F0"/>
            </w:tcBorders>
            <w:shd w:val="clear" w:color="auto" w:fill="FFFFFF"/>
            <w:tcMar>
              <w:top w:w="100" w:type="dxa"/>
              <w:left w:w="120" w:type="dxa"/>
              <w:bottom w:w="100" w:type="dxa"/>
              <w:right w:w="120" w:type="dxa"/>
            </w:tcMar>
          </w:tcPr>
          <w:p w14:paraId="23D41B20" w14:textId="77777777" w:rsidR="003530EC" w:rsidRDefault="00000000">
            <w:pPr>
              <w:spacing w:after="0"/>
              <w:jc w:val="right"/>
            </w:pPr>
            <w:r>
              <w:rPr>
                <w:b/>
              </w:rPr>
              <w:t>$1,364,228.31</w:t>
            </w:r>
          </w:p>
        </w:tc>
      </w:tr>
      <w:tr w:rsidR="003530EC" w14:paraId="47A35497"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6AEE6863" w14:textId="77777777" w:rsidR="003530EC" w:rsidRDefault="00000000">
            <w:pPr>
              <w:spacing w:after="0"/>
            </w:pPr>
            <w:r>
              <w:rPr>
                <w:b/>
              </w:rPr>
              <w:t>Mortgage Fully Offset Timeline</w:t>
            </w:r>
          </w:p>
        </w:tc>
        <w:tc>
          <w:tcPr>
            <w:tcW w:w="2880" w:type="dxa"/>
            <w:tcBorders>
              <w:bottom w:val="single" w:sz="4" w:space="0" w:color="E2E8F0"/>
            </w:tcBorders>
            <w:shd w:val="clear" w:color="auto" w:fill="F8FAFC"/>
            <w:tcMar>
              <w:top w:w="100" w:type="dxa"/>
              <w:left w:w="120" w:type="dxa"/>
              <w:bottom w:w="100" w:type="dxa"/>
              <w:right w:w="120" w:type="dxa"/>
            </w:tcMar>
          </w:tcPr>
          <w:p w14:paraId="57278A3C" w14:textId="77777777" w:rsidR="003530EC" w:rsidRDefault="00000000">
            <w:pPr>
              <w:spacing w:after="0"/>
              <w:jc w:val="right"/>
            </w:pPr>
            <w:r>
              <w:rPr>
                <w:b/>
              </w:rPr>
              <w:t>Year 7.5 (Month 90)</w:t>
            </w:r>
          </w:p>
        </w:tc>
        <w:tc>
          <w:tcPr>
            <w:tcW w:w="2880" w:type="dxa"/>
            <w:tcBorders>
              <w:bottom w:val="single" w:sz="4" w:space="0" w:color="E2E8F0"/>
            </w:tcBorders>
            <w:shd w:val="clear" w:color="auto" w:fill="F8FAFC"/>
            <w:tcMar>
              <w:top w:w="100" w:type="dxa"/>
              <w:left w:w="120" w:type="dxa"/>
              <w:bottom w:w="100" w:type="dxa"/>
              <w:right w:w="120" w:type="dxa"/>
            </w:tcMar>
          </w:tcPr>
          <w:p w14:paraId="22EF0BC5" w14:textId="77777777" w:rsidR="003530EC" w:rsidRDefault="00000000">
            <w:pPr>
              <w:spacing w:after="0"/>
              <w:jc w:val="right"/>
            </w:pPr>
            <w:r>
              <w:rPr>
                <w:b/>
              </w:rPr>
              <w:t>Year 8.3 (Month 99)</w:t>
            </w:r>
          </w:p>
        </w:tc>
      </w:tr>
    </w:tbl>
    <w:p w14:paraId="5FF0FE65" w14:textId="77777777" w:rsidR="003530EC" w:rsidRDefault="003530EC">
      <w:pPr>
        <w:spacing w:after="240"/>
      </w:pPr>
    </w:p>
    <w:p w14:paraId="3B5C44DB" w14:textId="7826C8CE" w:rsidR="003530EC" w:rsidRDefault="00000000">
      <w:pPr>
        <w:spacing w:after="120"/>
      </w:pPr>
      <w:r w:rsidRPr="00F94E22">
        <w:rPr>
          <w:rFonts w:ascii="Arial" w:hAnsi="Arial"/>
          <w:b/>
          <w:bCs/>
          <w:color w:val="333333"/>
          <w:sz w:val="21"/>
        </w:rPr>
        <w:lastRenderedPageBreak/>
        <w:t>Key Strategic Insights:</w:t>
      </w:r>
      <w:r>
        <w:rPr>
          <w:rFonts w:ascii="Arial" w:hAnsi="Arial"/>
          <w:color w:val="333333"/>
          <w:sz w:val="21"/>
        </w:rPr>
        <w:t xml:space="preserve"> Strategy B (Balanced Allocation) results in a higher projected net worth at Year 10 by $21,231.48. This is driven by the positive yield spread between the Vanguard fund's long-term capital growth (7.50% p.a.) and the mortgage interest rate (6.00% p.a.). However, this comes at the cost of delaying the full offset timeline by 9 months (from Month 90 to Month 99). Additionally, interest savings in Strategy A are 100% tax-free, whereas Strategy B distributions are subject to annual personal income tax</w:t>
      </w:r>
      <w:r w:rsidR="00F94E22">
        <w:rPr>
          <w:rFonts w:ascii="Arial" w:hAnsi="Arial"/>
          <w:color w:val="333333"/>
          <w:sz w:val="21"/>
        </w:rPr>
        <w:t>.</w:t>
      </w:r>
    </w:p>
    <w:p w14:paraId="5DCA4911" w14:textId="77777777" w:rsidR="003530EC" w:rsidRDefault="003530EC">
      <w:pPr>
        <w:spacing w:after="240"/>
      </w:pPr>
    </w:p>
    <w:p w14:paraId="34620444" w14:textId="77777777" w:rsidR="003530EC" w:rsidRDefault="00000000">
      <w:pPr>
        <w:spacing w:after="240"/>
        <w:jc w:val="center"/>
      </w:pPr>
      <w:r>
        <w:rPr>
          <w:noProof/>
        </w:rPr>
        <w:drawing>
          <wp:inline distT="0" distB="0" distL="0" distR="0" wp14:anchorId="109C63DD" wp14:editId="5AAFD6C6">
            <wp:extent cx="5943600" cy="25356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_purchase_growth.png"/>
                    <pic:cNvPicPr/>
                  </pic:nvPicPr>
                  <pic:blipFill>
                    <a:blip r:embed="rId12"/>
                    <a:stretch>
                      <a:fillRect/>
                    </a:stretch>
                  </pic:blipFill>
                  <pic:spPr>
                    <a:xfrm>
                      <a:off x="0" y="0"/>
                      <a:ext cx="5943600" cy="2535651"/>
                    </a:xfrm>
                    <a:prstGeom prst="rect">
                      <a:avLst/>
                    </a:prstGeom>
                  </pic:spPr>
                </pic:pic>
              </a:graphicData>
            </a:graphic>
          </wp:inline>
        </w:drawing>
      </w:r>
      <w:r>
        <w:rPr>
          <w:rFonts w:ascii="Arial" w:hAnsi="Arial"/>
          <w:i/>
          <w:color w:val="64748B"/>
          <w:sz w:val="18"/>
        </w:rPr>
        <w:br/>
        <w:t>Figure 5: 10-year projected post-purchase wealth trajectory showing Liquid Cash, Accessible Assets (Cash + Managed), and Accessible Net Worth (excluding preserved superannuation) for both Base and Stress Test scenarios.</w:t>
      </w:r>
    </w:p>
    <w:p w14:paraId="2F4A7E8B" w14:textId="77777777" w:rsidR="003530EC" w:rsidRDefault="00000000">
      <w:pPr>
        <w:keepNext/>
        <w:spacing w:before="360" w:after="120"/>
      </w:pPr>
      <w:r>
        <w:rPr>
          <w:rFonts w:ascii="Arial" w:hAnsi="Arial"/>
          <w:b/>
          <w:color w:val="1F3A60"/>
          <w:sz w:val="32"/>
        </w:rPr>
        <w:t>6.2 Standalone Preservation-Age Wealth (Superannuation Projections)</w:t>
      </w:r>
    </w:p>
    <w:p w14:paraId="57E56C2B" w14:textId="0BA76AEA" w:rsidR="003530EC" w:rsidRPr="00F94E22" w:rsidRDefault="00000000">
      <w:pPr>
        <w:spacing w:after="120"/>
        <w:rPr>
          <w:i/>
          <w:iCs/>
        </w:rPr>
      </w:pPr>
      <w:r>
        <w:rPr>
          <w:rFonts w:ascii="Arial" w:hAnsi="Arial"/>
          <w:color w:val="333333"/>
          <w:sz w:val="21"/>
        </w:rPr>
        <w:t>Superannuation is a preserved asset clas</w:t>
      </w:r>
      <w:r w:rsidR="00F94E22">
        <w:rPr>
          <w:rFonts w:ascii="Arial" w:hAnsi="Arial"/>
          <w:color w:val="333333"/>
          <w:sz w:val="21"/>
        </w:rPr>
        <w:t>s</w:t>
      </w:r>
      <w:r>
        <w:rPr>
          <w:rFonts w:ascii="Arial" w:hAnsi="Arial"/>
          <w:color w:val="333333"/>
          <w:sz w:val="21"/>
        </w:rPr>
        <w:t xml:space="preserve">. </w:t>
      </w:r>
      <w:r w:rsidR="00F94E22">
        <w:rPr>
          <w:rFonts w:ascii="Arial" w:hAnsi="Arial"/>
          <w:color w:val="333333"/>
          <w:sz w:val="21"/>
        </w:rPr>
        <w:t>S</w:t>
      </w:r>
      <w:r>
        <w:rPr>
          <w:rFonts w:ascii="Arial" w:hAnsi="Arial"/>
          <w:color w:val="333333"/>
          <w:sz w:val="21"/>
        </w:rPr>
        <w:t xml:space="preserve">uperannuation is held with UniSuper and is 100% allocated to the High Growth investment option (approximately 90% growth assets and 10% defensive assets). This option is designed for high long-term capital growth and has historically delivered strong performance, with a 5-year annualized return of 8.27% p.a. and a 10-year annualized return of 10.84% p.a. as of 30 June 2026 (net of tax and investment fees). Under </w:t>
      </w:r>
      <w:r w:rsidR="00F94E22">
        <w:rPr>
          <w:rFonts w:ascii="Arial" w:hAnsi="Arial"/>
          <w:color w:val="333333"/>
          <w:sz w:val="21"/>
        </w:rPr>
        <w:t xml:space="preserve">the </w:t>
      </w:r>
      <w:r>
        <w:rPr>
          <w:rFonts w:ascii="Arial" w:hAnsi="Arial"/>
          <w:color w:val="333333"/>
          <w:sz w:val="21"/>
        </w:rPr>
        <w:t xml:space="preserve">University of Sydney HEO 9 package, you receive a 17.0% employer contribution rate. On </w:t>
      </w:r>
      <w:r w:rsidR="00F94E22">
        <w:rPr>
          <w:rFonts w:ascii="Arial" w:hAnsi="Arial"/>
          <w:color w:val="333333"/>
          <w:sz w:val="21"/>
        </w:rPr>
        <w:t xml:space="preserve">the </w:t>
      </w:r>
      <w:r>
        <w:rPr>
          <w:rFonts w:ascii="Arial" w:hAnsi="Arial"/>
          <w:color w:val="333333"/>
          <w:sz w:val="21"/>
        </w:rPr>
        <w:t>base salary of $160,430, this equates to $27,273.10 gross p.a. ($2,272.76 per month gross). After the standard 15% contributions tax</w:t>
      </w:r>
      <w:r w:rsidR="00F94E22">
        <w:rPr>
          <w:rFonts w:ascii="Arial" w:hAnsi="Arial"/>
          <w:color w:val="333333"/>
          <w:sz w:val="21"/>
        </w:rPr>
        <w:t xml:space="preserve">, </w:t>
      </w:r>
      <w:r>
        <w:rPr>
          <w:rFonts w:ascii="Arial" w:hAnsi="Arial"/>
          <w:color w:val="333333"/>
          <w:sz w:val="21"/>
        </w:rPr>
        <w:t xml:space="preserve">this results in a net monthly contribution of $1,931.84 deposited directly into your preserved super account. </w:t>
      </w:r>
      <w:r w:rsidRPr="00F94E22">
        <w:rPr>
          <w:rFonts w:ascii="Arial" w:hAnsi="Arial"/>
          <w:i/>
          <w:iCs/>
          <w:color w:val="333333"/>
          <w:sz w:val="21"/>
        </w:rPr>
        <w:t>Sources: UniSuper High Growth Option Performance (https://www.unisuper.com.au/investments/investment-options/high-growth) and University of Sydney Salary Packaging Policy.</w:t>
      </w:r>
    </w:p>
    <w:p w14:paraId="17738703" w14:textId="2EA3C2B3" w:rsidR="003530EC" w:rsidRDefault="00000000">
      <w:pPr>
        <w:spacing w:after="120"/>
      </w:pPr>
      <w:r>
        <w:rPr>
          <w:rFonts w:ascii="Arial" w:hAnsi="Arial"/>
          <w:color w:val="333333"/>
          <w:sz w:val="21"/>
        </w:rPr>
        <w:t xml:space="preserve">To model long-term retirement wealth accumulation, a standalone projection is run for </w:t>
      </w:r>
      <w:r w:rsidR="00F94E22">
        <w:rPr>
          <w:rFonts w:ascii="Arial" w:hAnsi="Arial"/>
          <w:color w:val="333333"/>
          <w:sz w:val="21"/>
        </w:rPr>
        <w:t xml:space="preserve">the </w:t>
      </w:r>
      <w:r>
        <w:rPr>
          <w:rFonts w:ascii="Arial" w:hAnsi="Arial"/>
          <w:color w:val="333333"/>
          <w:sz w:val="21"/>
        </w:rPr>
        <w:t>superannuation portfolio. Given the 100% High Growth allocation and historical averages, we assume an 8.00% p.a. compound growth rate in the Base Case (which is conservative compared to UniSuper's 10-year historical return of 10.84% p.a. to build a safety margin), and a 6.00% p.a. growth rate in the Stress Test Case (representing long-term market stagnation). The table below details the growth of your preserved retirement asset:</w:t>
      </w:r>
    </w:p>
    <w:p w14:paraId="460F4C51" w14:textId="77777777" w:rsidR="003530EC" w:rsidRDefault="00000000">
      <w:pPr>
        <w:spacing w:after="120"/>
      </w:pPr>
      <w:r>
        <w:rPr>
          <w:rFonts w:ascii="Arial" w:hAnsi="Arial"/>
          <w:i/>
          <w:color w:val="333333"/>
          <w:sz w:val="21"/>
        </w:rPr>
        <w:lastRenderedPageBreak/>
        <w:t>Table 9: Standalone Preserved Superannuation Projections (17% Contributions)</w:t>
      </w:r>
    </w:p>
    <w:tbl>
      <w:tblPr>
        <w:tblW w:w="0" w:type="auto"/>
        <w:jc w:val="center"/>
        <w:tblLook w:val="04A0" w:firstRow="1" w:lastRow="0" w:firstColumn="1" w:lastColumn="0" w:noHBand="0" w:noVBand="1"/>
      </w:tblPr>
      <w:tblGrid>
        <w:gridCol w:w="3450"/>
        <w:gridCol w:w="1970"/>
        <w:gridCol w:w="1970"/>
        <w:gridCol w:w="1970"/>
      </w:tblGrid>
      <w:tr w:rsidR="003530EC" w14:paraId="59FCA1D7" w14:textId="77777777">
        <w:trPr>
          <w:jc w:val="center"/>
        </w:trPr>
        <w:tc>
          <w:tcPr>
            <w:tcW w:w="3600" w:type="dxa"/>
            <w:shd w:val="clear" w:color="auto" w:fill="1F3A60"/>
            <w:tcMar>
              <w:top w:w="120" w:type="dxa"/>
              <w:left w:w="120" w:type="dxa"/>
              <w:bottom w:w="120" w:type="dxa"/>
              <w:right w:w="120" w:type="dxa"/>
            </w:tcMar>
          </w:tcPr>
          <w:p w14:paraId="53EF8B2D" w14:textId="77777777" w:rsidR="003530EC" w:rsidRDefault="00000000">
            <w:pPr>
              <w:spacing w:after="0"/>
            </w:pPr>
            <w:r>
              <w:rPr>
                <w:rFonts w:ascii="Arial" w:hAnsi="Arial"/>
                <w:b/>
                <w:color w:val="FFFFFF"/>
                <w:sz w:val="19"/>
              </w:rPr>
              <w:t>Superannuation Scenario</w:t>
            </w:r>
          </w:p>
        </w:tc>
        <w:tc>
          <w:tcPr>
            <w:tcW w:w="2016" w:type="dxa"/>
            <w:shd w:val="clear" w:color="auto" w:fill="1F3A60"/>
            <w:tcMar>
              <w:top w:w="120" w:type="dxa"/>
              <w:left w:w="120" w:type="dxa"/>
              <w:bottom w:w="120" w:type="dxa"/>
              <w:right w:w="120" w:type="dxa"/>
            </w:tcMar>
          </w:tcPr>
          <w:p w14:paraId="27BB2FB1" w14:textId="77777777" w:rsidR="003530EC" w:rsidRDefault="00000000">
            <w:pPr>
              <w:spacing w:after="0"/>
              <w:jc w:val="right"/>
            </w:pPr>
            <w:r>
              <w:rPr>
                <w:rFonts w:ascii="Arial" w:hAnsi="Arial"/>
                <w:b/>
                <w:color w:val="FFFFFF"/>
                <w:sz w:val="19"/>
              </w:rPr>
              <w:t>Year 0 (Settlement)</w:t>
            </w:r>
          </w:p>
        </w:tc>
        <w:tc>
          <w:tcPr>
            <w:tcW w:w="2016" w:type="dxa"/>
            <w:shd w:val="clear" w:color="auto" w:fill="1F3A60"/>
            <w:tcMar>
              <w:top w:w="120" w:type="dxa"/>
              <w:left w:w="120" w:type="dxa"/>
              <w:bottom w:w="120" w:type="dxa"/>
              <w:right w:w="120" w:type="dxa"/>
            </w:tcMar>
          </w:tcPr>
          <w:p w14:paraId="532153D2" w14:textId="77777777" w:rsidR="003530EC" w:rsidRDefault="00000000">
            <w:pPr>
              <w:spacing w:after="0"/>
              <w:jc w:val="right"/>
            </w:pPr>
            <w:r>
              <w:rPr>
                <w:rFonts w:ascii="Arial" w:hAnsi="Arial"/>
                <w:b/>
                <w:color w:val="FFFFFF"/>
                <w:sz w:val="19"/>
              </w:rPr>
              <w:t>Year 5 Post-Purchase</w:t>
            </w:r>
          </w:p>
        </w:tc>
        <w:tc>
          <w:tcPr>
            <w:tcW w:w="2016" w:type="dxa"/>
            <w:shd w:val="clear" w:color="auto" w:fill="1F3A60"/>
            <w:tcMar>
              <w:top w:w="120" w:type="dxa"/>
              <w:left w:w="120" w:type="dxa"/>
              <w:bottom w:w="120" w:type="dxa"/>
              <w:right w:w="120" w:type="dxa"/>
            </w:tcMar>
          </w:tcPr>
          <w:p w14:paraId="409973CF" w14:textId="77777777" w:rsidR="003530EC" w:rsidRDefault="00000000">
            <w:pPr>
              <w:spacing w:after="0"/>
              <w:jc w:val="right"/>
            </w:pPr>
            <w:r>
              <w:rPr>
                <w:rFonts w:ascii="Arial" w:hAnsi="Arial"/>
                <w:b/>
                <w:color w:val="FFFFFF"/>
                <w:sz w:val="19"/>
              </w:rPr>
              <w:t>Year 10 Post-Purchase</w:t>
            </w:r>
          </w:p>
        </w:tc>
      </w:tr>
      <w:tr w:rsidR="003530EC" w14:paraId="449E6180" w14:textId="77777777">
        <w:trPr>
          <w:jc w:val="center"/>
        </w:trPr>
        <w:tc>
          <w:tcPr>
            <w:tcW w:w="3600" w:type="dxa"/>
            <w:tcBorders>
              <w:bottom w:val="single" w:sz="4" w:space="0" w:color="E2E8F0"/>
            </w:tcBorders>
            <w:shd w:val="clear" w:color="auto" w:fill="F8FAFC"/>
            <w:tcMar>
              <w:top w:w="100" w:type="dxa"/>
              <w:left w:w="120" w:type="dxa"/>
              <w:bottom w:w="100" w:type="dxa"/>
              <w:right w:w="120" w:type="dxa"/>
            </w:tcMar>
          </w:tcPr>
          <w:p w14:paraId="4BD9A68C" w14:textId="77777777" w:rsidR="003530EC" w:rsidRDefault="00000000">
            <w:pPr>
              <w:spacing w:after="0"/>
            </w:pPr>
            <w:r>
              <w:t>Base Case (8.0% p.a. growth + USyd HEO 9 contributions)</w:t>
            </w:r>
          </w:p>
        </w:tc>
        <w:tc>
          <w:tcPr>
            <w:tcW w:w="2016" w:type="dxa"/>
            <w:tcBorders>
              <w:bottom w:val="single" w:sz="4" w:space="0" w:color="E2E8F0"/>
            </w:tcBorders>
            <w:shd w:val="clear" w:color="auto" w:fill="F8FAFC"/>
            <w:tcMar>
              <w:top w:w="100" w:type="dxa"/>
              <w:left w:w="120" w:type="dxa"/>
              <w:bottom w:w="100" w:type="dxa"/>
              <w:right w:w="120" w:type="dxa"/>
            </w:tcMar>
          </w:tcPr>
          <w:p w14:paraId="77D722D8" w14:textId="77777777" w:rsidR="003530EC" w:rsidRDefault="00000000">
            <w:pPr>
              <w:spacing w:after="0"/>
              <w:jc w:val="right"/>
            </w:pPr>
            <w:r>
              <w:t>$120,260.82</w:t>
            </w:r>
          </w:p>
        </w:tc>
        <w:tc>
          <w:tcPr>
            <w:tcW w:w="2016" w:type="dxa"/>
            <w:tcBorders>
              <w:bottom w:val="single" w:sz="4" w:space="0" w:color="E2E8F0"/>
            </w:tcBorders>
            <w:shd w:val="clear" w:color="auto" w:fill="F8FAFC"/>
            <w:tcMar>
              <w:top w:w="100" w:type="dxa"/>
              <w:left w:w="120" w:type="dxa"/>
              <w:bottom w:w="100" w:type="dxa"/>
              <w:right w:w="120" w:type="dxa"/>
            </w:tcMar>
          </w:tcPr>
          <w:p w14:paraId="1360BE72" w14:textId="77777777" w:rsidR="003530EC" w:rsidRDefault="00000000">
            <w:pPr>
              <w:spacing w:after="0"/>
              <w:jc w:val="right"/>
            </w:pPr>
            <w:r>
              <w:t>$321,115.60</w:t>
            </w:r>
          </w:p>
        </w:tc>
        <w:tc>
          <w:tcPr>
            <w:tcW w:w="2016" w:type="dxa"/>
            <w:tcBorders>
              <w:bottom w:val="single" w:sz="4" w:space="0" w:color="E2E8F0"/>
            </w:tcBorders>
            <w:shd w:val="clear" w:color="auto" w:fill="F8FAFC"/>
            <w:tcMar>
              <w:top w:w="100" w:type="dxa"/>
              <w:left w:w="120" w:type="dxa"/>
              <w:bottom w:w="100" w:type="dxa"/>
              <w:right w:w="120" w:type="dxa"/>
            </w:tcMar>
          </w:tcPr>
          <w:p w14:paraId="0176C634" w14:textId="77777777" w:rsidR="003530EC" w:rsidRDefault="00000000">
            <w:pPr>
              <w:spacing w:after="0"/>
              <w:jc w:val="right"/>
            </w:pPr>
            <w:r>
              <w:t>$620,358.22</w:t>
            </w:r>
          </w:p>
        </w:tc>
      </w:tr>
      <w:tr w:rsidR="003530EC" w14:paraId="382F599E" w14:textId="77777777">
        <w:trPr>
          <w:jc w:val="center"/>
        </w:trPr>
        <w:tc>
          <w:tcPr>
            <w:tcW w:w="3600" w:type="dxa"/>
            <w:tcBorders>
              <w:bottom w:val="single" w:sz="4" w:space="0" w:color="E2E8F0"/>
            </w:tcBorders>
            <w:shd w:val="clear" w:color="auto" w:fill="FFFFFF"/>
            <w:tcMar>
              <w:top w:w="100" w:type="dxa"/>
              <w:left w:w="120" w:type="dxa"/>
              <w:bottom w:w="100" w:type="dxa"/>
              <w:right w:w="120" w:type="dxa"/>
            </w:tcMar>
          </w:tcPr>
          <w:p w14:paraId="0B0F5694" w14:textId="77777777" w:rsidR="003530EC" w:rsidRDefault="00000000">
            <w:pPr>
              <w:spacing w:after="0"/>
            </w:pPr>
            <w:r>
              <w:t>Stress Test Case (6.0% p.a. growth + USyd HEO 9 contributions)</w:t>
            </w:r>
          </w:p>
        </w:tc>
        <w:tc>
          <w:tcPr>
            <w:tcW w:w="2016" w:type="dxa"/>
            <w:tcBorders>
              <w:bottom w:val="single" w:sz="4" w:space="0" w:color="E2E8F0"/>
            </w:tcBorders>
            <w:shd w:val="clear" w:color="auto" w:fill="FFFFFF"/>
            <w:tcMar>
              <w:top w:w="100" w:type="dxa"/>
              <w:left w:w="120" w:type="dxa"/>
              <w:bottom w:w="100" w:type="dxa"/>
              <w:right w:w="120" w:type="dxa"/>
            </w:tcMar>
          </w:tcPr>
          <w:p w14:paraId="667919FF" w14:textId="77777777" w:rsidR="003530EC" w:rsidRDefault="00000000">
            <w:pPr>
              <w:spacing w:after="0"/>
              <w:jc w:val="right"/>
            </w:pPr>
            <w:r>
              <w:t>$120,260.82</w:t>
            </w:r>
          </w:p>
        </w:tc>
        <w:tc>
          <w:tcPr>
            <w:tcW w:w="2016" w:type="dxa"/>
            <w:tcBorders>
              <w:bottom w:val="single" w:sz="4" w:space="0" w:color="E2E8F0"/>
            </w:tcBorders>
            <w:shd w:val="clear" w:color="auto" w:fill="FFFFFF"/>
            <w:tcMar>
              <w:top w:w="100" w:type="dxa"/>
              <w:left w:w="120" w:type="dxa"/>
              <w:bottom w:w="100" w:type="dxa"/>
              <w:right w:w="120" w:type="dxa"/>
            </w:tcMar>
          </w:tcPr>
          <w:p w14:paraId="4EE7283F" w14:textId="77777777" w:rsidR="003530EC" w:rsidRDefault="00000000">
            <w:pPr>
              <w:spacing w:after="0"/>
              <w:jc w:val="right"/>
            </w:pPr>
            <w:r>
              <w:t>$296,998.36</w:t>
            </w:r>
          </w:p>
        </w:tc>
        <w:tc>
          <w:tcPr>
            <w:tcW w:w="2016" w:type="dxa"/>
            <w:tcBorders>
              <w:bottom w:val="single" w:sz="4" w:space="0" w:color="E2E8F0"/>
            </w:tcBorders>
            <w:shd w:val="clear" w:color="auto" w:fill="FFFFFF"/>
            <w:tcMar>
              <w:top w:w="100" w:type="dxa"/>
              <w:left w:w="120" w:type="dxa"/>
              <w:bottom w:w="100" w:type="dxa"/>
              <w:right w:w="120" w:type="dxa"/>
            </w:tcMar>
          </w:tcPr>
          <w:p w14:paraId="14FFE636" w14:textId="77777777" w:rsidR="003530EC" w:rsidRDefault="00000000">
            <w:pPr>
              <w:spacing w:after="0"/>
              <w:jc w:val="right"/>
            </w:pPr>
            <w:r>
              <w:t>$535,390.82</w:t>
            </w:r>
          </w:p>
        </w:tc>
      </w:tr>
    </w:tbl>
    <w:p w14:paraId="0B8DDE7D" w14:textId="77777777" w:rsidR="003530EC" w:rsidRDefault="003530EC">
      <w:pPr>
        <w:spacing w:after="240"/>
      </w:pPr>
    </w:p>
    <w:p w14:paraId="5C9D1DF3" w14:textId="77777777" w:rsidR="003530EC" w:rsidRDefault="00000000">
      <w:pPr>
        <w:spacing w:after="240"/>
        <w:jc w:val="center"/>
      </w:pPr>
      <w:r>
        <w:rPr>
          <w:noProof/>
        </w:rPr>
        <w:drawing>
          <wp:inline distT="0" distB="0" distL="0" distR="0" wp14:anchorId="26CF5155" wp14:editId="7A6FF6D4">
            <wp:extent cx="5029200" cy="31167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erannuation_projection.png"/>
                    <pic:cNvPicPr/>
                  </pic:nvPicPr>
                  <pic:blipFill>
                    <a:blip r:embed="rId13"/>
                    <a:stretch>
                      <a:fillRect/>
                    </a:stretch>
                  </pic:blipFill>
                  <pic:spPr>
                    <a:xfrm>
                      <a:off x="0" y="0"/>
                      <a:ext cx="5029200" cy="3116747"/>
                    </a:xfrm>
                    <a:prstGeom prst="rect">
                      <a:avLst/>
                    </a:prstGeom>
                  </pic:spPr>
                </pic:pic>
              </a:graphicData>
            </a:graphic>
          </wp:inline>
        </w:drawing>
      </w:r>
      <w:r>
        <w:rPr>
          <w:rFonts w:ascii="Arial" w:hAnsi="Arial"/>
          <w:i/>
          <w:color w:val="64748B"/>
          <w:sz w:val="18"/>
        </w:rPr>
        <w:br/>
        <w:t>Figure 6: 10-year projected superannuation balance growth (UniSuper High Growth 100% Allocation) under Base (8.0%) and Stress Test (6.0%) scenarios.</w:t>
      </w:r>
    </w:p>
    <w:p w14:paraId="1292EA7E" w14:textId="77777777" w:rsidR="003530EC" w:rsidRDefault="003530EC">
      <w:pPr>
        <w:spacing w:after="240"/>
      </w:pPr>
    </w:p>
    <w:p w14:paraId="293A96E0" w14:textId="77777777" w:rsidR="003530EC" w:rsidRDefault="00000000">
      <w:pPr>
        <w:keepNext/>
        <w:spacing w:before="360" w:after="120"/>
      </w:pPr>
      <w:r>
        <w:rPr>
          <w:rFonts w:ascii="Arial" w:hAnsi="Arial"/>
          <w:b/>
          <w:color w:val="1F3A60"/>
          <w:sz w:val="32"/>
        </w:rPr>
        <w:t>7. Government Schemes &amp; Property Acquisition Process</w:t>
      </w:r>
    </w:p>
    <w:p w14:paraId="47BAE491" w14:textId="77777777" w:rsidR="003530EC" w:rsidRDefault="00000000">
      <w:pPr>
        <w:keepNext/>
        <w:spacing w:before="240" w:after="80"/>
      </w:pPr>
      <w:r>
        <w:rPr>
          <w:rFonts w:ascii="Arial" w:hAnsi="Arial"/>
          <w:b/>
          <w:color w:val="0F766E"/>
          <w:sz w:val="24"/>
        </w:rPr>
        <w:t>7.1 Government Assistance Schemes &amp; Eligibility Summary</w:t>
      </w:r>
    </w:p>
    <w:p w14:paraId="67DF7CAB" w14:textId="2EEB1CB3" w:rsidR="003530EC" w:rsidRDefault="00000000">
      <w:pPr>
        <w:spacing w:after="120"/>
      </w:pPr>
      <w:r>
        <w:rPr>
          <w:rFonts w:ascii="Arial" w:hAnsi="Arial"/>
          <w:color w:val="333333"/>
          <w:sz w:val="21"/>
        </w:rPr>
        <w:t>To minimize upfront purchasing costs</w:t>
      </w:r>
      <w:r w:rsidR="00F94E22">
        <w:rPr>
          <w:rFonts w:ascii="Arial" w:hAnsi="Arial"/>
          <w:color w:val="333333"/>
          <w:sz w:val="21"/>
        </w:rPr>
        <w:t>, I can use</w:t>
      </w:r>
      <w:r>
        <w:rPr>
          <w:rFonts w:ascii="Arial" w:hAnsi="Arial"/>
          <w:color w:val="333333"/>
          <w:sz w:val="21"/>
        </w:rPr>
        <w:t xml:space="preserve"> primary government assistance programs. These are documented below with their official eligibility rules and sources:</w:t>
      </w:r>
    </w:p>
    <w:p w14:paraId="03BE9ED7" w14:textId="77777777" w:rsidR="003530EC" w:rsidRDefault="00000000">
      <w:pPr>
        <w:pStyle w:val="ListBullet"/>
        <w:spacing w:after="60"/>
      </w:pPr>
      <w:r>
        <w:rPr>
          <w:rFonts w:ascii="Arial" w:hAnsi="Arial"/>
          <w:b/>
          <w:color w:val="333333"/>
          <w:sz w:val="21"/>
        </w:rPr>
        <w:t>NSW First Home Buyers Assistance Scheme (FHBAS):</w:t>
      </w:r>
      <w:r>
        <w:rPr>
          <w:rFonts w:ascii="Arial" w:hAnsi="Arial"/>
          <w:b/>
          <w:color w:val="333333"/>
          <w:sz w:val="21"/>
        </w:rPr>
        <w:br/>
        <w:t xml:space="preserve">• Benefit: </w:t>
      </w:r>
      <w:r>
        <w:rPr>
          <w:rFonts w:ascii="Arial" w:hAnsi="Arial"/>
          <w:color w:val="333333"/>
          <w:sz w:val="21"/>
        </w:rPr>
        <w:t>100% full transfer (stamp) duty exemption for new or established homes valued up to $800,000, representing a direct saving of ~$29,000 on a $750,000 property.</w:t>
      </w:r>
      <w:r>
        <w:rPr>
          <w:rFonts w:ascii="Arial" w:hAnsi="Arial"/>
          <w:color w:val="333333"/>
          <w:sz w:val="21"/>
        </w:rPr>
        <w:br/>
      </w:r>
      <w:r>
        <w:rPr>
          <w:rFonts w:ascii="Arial" w:hAnsi="Arial"/>
          <w:b/>
          <w:color w:val="333333"/>
          <w:sz w:val="21"/>
        </w:rPr>
        <w:t xml:space="preserve">• Key Eligibility: </w:t>
      </w:r>
      <w:r>
        <w:rPr>
          <w:rFonts w:ascii="Arial" w:hAnsi="Arial"/>
          <w:color w:val="333333"/>
          <w:sz w:val="21"/>
        </w:rPr>
        <w:t xml:space="preserve">Must be a first-time buyer (never owned residential property in Australia), at least 18 years old, and an Australian citizen or permanent resident. I must move into the property </w:t>
      </w:r>
      <w:r>
        <w:rPr>
          <w:rFonts w:ascii="Arial" w:hAnsi="Arial"/>
          <w:color w:val="333333"/>
          <w:sz w:val="21"/>
        </w:rPr>
        <w:lastRenderedPageBreak/>
        <w:t>within 12 months of settlement and occupy it for a continuous period of at least 12 months.</w:t>
      </w:r>
      <w:r>
        <w:rPr>
          <w:rFonts w:ascii="Arial" w:hAnsi="Arial"/>
          <w:color w:val="333333"/>
          <w:sz w:val="21"/>
        </w:rPr>
        <w:br/>
      </w:r>
      <w:r>
        <w:rPr>
          <w:rFonts w:ascii="Arial" w:hAnsi="Arial"/>
          <w:b/>
          <w:color w:val="333333"/>
          <w:sz w:val="21"/>
        </w:rPr>
        <w:t xml:space="preserve">• Source: </w:t>
      </w:r>
      <w:r>
        <w:rPr>
          <w:rFonts w:ascii="Arial" w:hAnsi="Arial"/>
          <w:color w:val="333333"/>
          <w:sz w:val="21"/>
        </w:rPr>
        <w:t>Revenue NSW Official Portal (https://www.revenue.nsw.gov.au/grants-schemes/first-home-buyer/assistance-scheme)</w:t>
      </w:r>
    </w:p>
    <w:p w14:paraId="42E0551A" w14:textId="2EFE6FA1" w:rsidR="003530EC" w:rsidRDefault="00000000">
      <w:pPr>
        <w:pStyle w:val="ListBullet"/>
        <w:spacing w:after="240"/>
      </w:pPr>
      <w:r>
        <w:rPr>
          <w:rFonts w:ascii="Arial" w:hAnsi="Arial"/>
          <w:b/>
          <w:color w:val="333333"/>
          <w:sz w:val="21"/>
        </w:rPr>
        <w:t>Australian Government First Home Guarantee (FHBG):</w:t>
      </w:r>
      <w:r>
        <w:rPr>
          <w:rFonts w:ascii="Arial" w:hAnsi="Arial"/>
          <w:b/>
          <w:color w:val="333333"/>
          <w:sz w:val="21"/>
        </w:rPr>
        <w:br/>
        <w:t xml:space="preserve">• Benefit: </w:t>
      </w:r>
      <w:r>
        <w:rPr>
          <w:rFonts w:ascii="Arial" w:hAnsi="Arial"/>
          <w:color w:val="333333"/>
          <w:sz w:val="21"/>
        </w:rPr>
        <w:t>Allows purchase with a deposit as low as 5% without paying Lenders Mortgage Insurance (LMI) by providing a government-backed guarantee for up to 15% of the property value. This saves $9,000–$16,000 in upfront costs.</w:t>
      </w:r>
      <w:r>
        <w:rPr>
          <w:rFonts w:ascii="Arial" w:hAnsi="Arial"/>
          <w:color w:val="333333"/>
          <w:sz w:val="21"/>
        </w:rPr>
        <w:br/>
      </w:r>
      <w:r>
        <w:rPr>
          <w:rFonts w:ascii="Arial" w:hAnsi="Arial"/>
          <w:b/>
          <w:color w:val="333333"/>
          <w:sz w:val="21"/>
        </w:rPr>
        <w:t xml:space="preserve">• Key Eligibility: </w:t>
      </w:r>
      <w:r>
        <w:rPr>
          <w:rFonts w:ascii="Arial" w:hAnsi="Arial"/>
          <w:color w:val="333333"/>
          <w:sz w:val="21"/>
        </w:rPr>
        <w:t xml:space="preserve">Must be an Australian citizen or permanent resident, at least 18 years old, and a first-time buyer. The individual income cap of $125,000 was abolished on 1 October 2025, meaning I am fully eligible under my $160,430 base salary. The property price in the Sydney metropolitan area must be capped at $1,500,000 (which fully covers </w:t>
      </w:r>
      <w:r w:rsidR="00F94E22">
        <w:rPr>
          <w:rFonts w:ascii="Arial" w:hAnsi="Arial"/>
          <w:color w:val="333333"/>
          <w:sz w:val="21"/>
        </w:rPr>
        <w:t xml:space="preserve">the </w:t>
      </w:r>
      <w:r>
        <w:rPr>
          <w:rFonts w:ascii="Arial" w:hAnsi="Arial"/>
          <w:color w:val="333333"/>
          <w:sz w:val="21"/>
        </w:rPr>
        <w:t>$750,000 target).</w:t>
      </w:r>
      <w:r>
        <w:rPr>
          <w:rFonts w:ascii="Arial" w:hAnsi="Arial"/>
          <w:color w:val="333333"/>
          <w:sz w:val="21"/>
        </w:rPr>
        <w:br/>
      </w:r>
      <w:r>
        <w:rPr>
          <w:rFonts w:ascii="Arial" w:hAnsi="Arial"/>
          <w:b/>
          <w:color w:val="333333"/>
          <w:sz w:val="21"/>
        </w:rPr>
        <w:t xml:space="preserve">• Source: </w:t>
      </w:r>
      <w:r>
        <w:rPr>
          <w:rFonts w:ascii="Arial" w:hAnsi="Arial"/>
          <w:color w:val="333333"/>
          <w:sz w:val="21"/>
        </w:rPr>
        <w:t>Housing Australia Official Portal (https://www.housingaustralia.gov.au/support-buy-home/first-home-guarantee)</w:t>
      </w:r>
    </w:p>
    <w:p w14:paraId="332DACB9" w14:textId="77777777" w:rsidR="003530EC" w:rsidRDefault="00000000">
      <w:pPr>
        <w:keepNext/>
        <w:spacing w:before="240" w:after="80"/>
      </w:pPr>
      <w:r>
        <w:rPr>
          <w:rFonts w:ascii="Arial" w:hAnsi="Arial"/>
          <w:b/>
          <w:color w:val="0F766E"/>
          <w:sz w:val="24"/>
        </w:rPr>
        <w:t>7.2 Step-by-Step Acquisition Roadmap &amp; Transaction Costs</w:t>
      </w:r>
    </w:p>
    <w:p w14:paraId="03B29D50" w14:textId="77777777" w:rsidR="00F94E22" w:rsidRDefault="00000000">
      <w:pPr>
        <w:spacing w:after="120"/>
        <w:rPr>
          <w:rFonts w:ascii="Arial" w:hAnsi="Arial"/>
          <w:color w:val="333333"/>
          <w:sz w:val="21"/>
        </w:rPr>
      </w:pPr>
      <w:r>
        <w:rPr>
          <w:rFonts w:ascii="Arial" w:hAnsi="Arial"/>
          <w:color w:val="333333"/>
          <w:sz w:val="21"/>
        </w:rPr>
        <w:t xml:space="preserve">The practical roadmap from initial preparation to final move-in is mapped below. The durations shown are based on standard real estate and legal parameters in New South Wales: </w:t>
      </w:r>
    </w:p>
    <w:p w14:paraId="379AD0BD" w14:textId="32840E62" w:rsidR="00F94E22" w:rsidRPr="00F94E22" w:rsidRDefault="00F94E22" w:rsidP="00F94E22">
      <w:pPr>
        <w:pStyle w:val="ListParagraph"/>
        <w:numPr>
          <w:ilvl w:val="0"/>
          <w:numId w:val="10"/>
        </w:numPr>
        <w:spacing w:after="120"/>
      </w:pPr>
      <w:r>
        <w:rPr>
          <w:rFonts w:ascii="Arial" w:hAnsi="Arial"/>
          <w:color w:val="333333"/>
          <w:sz w:val="21"/>
        </w:rPr>
        <w:t>P</w:t>
      </w:r>
      <w:r w:rsidR="00000000" w:rsidRPr="00F94E22">
        <w:rPr>
          <w:rFonts w:ascii="Arial" w:hAnsi="Arial"/>
          <w:color w:val="333333"/>
          <w:sz w:val="21"/>
        </w:rPr>
        <w:t xml:space="preserve">re-approval processing takes 1 to 4 weeks (ASIC Moneysmart - </w:t>
      </w:r>
      <w:hyperlink r:id="rId14" w:history="1">
        <w:r w:rsidRPr="00E60858">
          <w:rPr>
            <w:rStyle w:val="Hyperlink"/>
            <w:rFonts w:ascii="Arial" w:hAnsi="Arial"/>
            <w:sz w:val="21"/>
          </w:rPr>
          <w:t>https://moneysmart.gov.au/home-loans/pre-approval-for-a-home-loan</w:t>
        </w:r>
      </w:hyperlink>
      <w:r w:rsidR="00000000" w:rsidRPr="00F94E22">
        <w:rPr>
          <w:rFonts w:ascii="Arial" w:hAnsi="Arial"/>
          <w:color w:val="333333"/>
          <w:sz w:val="21"/>
        </w:rPr>
        <w:t>)</w:t>
      </w:r>
    </w:p>
    <w:p w14:paraId="1EA1E575" w14:textId="05834811" w:rsidR="00F94E22" w:rsidRPr="00F94E22" w:rsidRDefault="00F94E22" w:rsidP="00F94E22">
      <w:pPr>
        <w:pStyle w:val="ListParagraph"/>
        <w:numPr>
          <w:ilvl w:val="0"/>
          <w:numId w:val="10"/>
        </w:numPr>
        <w:spacing w:after="120"/>
      </w:pPr>
      <w:r>
        <w:rPr>
          <w:rFonts w:ascii="Arial" w:hAnsi="Arial"/>
          <w:color w:val="333333"/>
          <w:sz w:val="21"/>
        </w:rPr>
        <w:t>P</w:t>
      </w:r>
      <w:r w:rsidR="00000000" w:rsidRPr="00F94E22">
        <w:rPr>
          <w:rFonts w:ascii="Arial" w:hAnsi="Arial"/>
          <w:color w:val="333333"/>
          <w:sz w:val="21"/>
        </w:rPr>
        <w:t xml:space="preserve">roperty search and due diligence averages 8 weeks (Domain Buyer Index - </w:t>
      </w:r>
      <w:hyperlink r:id="rId15" w:history="1">
        <w:r w:rsidRPr="00E60858">
          <w:rPr>
            <w:rStyle w:val="Hyperlink"/>
            <w:rFonts w:ascii="Arial" w:hAnsi="Arial"/>
            <w:sz w:val="21"/>
          </w:rPr>
          <w:t>https://www.domain.com.au</w:t>
        </w:r>
      </w:hyperlink>
      <w:r w:rsidR="00000000" w:rsidRPr="00F94E22">
        <w:rPr>
          <w:rFonts w:ascii="Arial" w:hAnsi="Arial"/>
          <w:color w:val="333333"/>
          <w:sz w:val="21"/>
        </w:rPr>
        <w:t>)</w:t>
      </w:r>
    </w:p>
    <w:p w14:paraId="7A480CB8" w14:textId="4544C3E8" w:rsidR="003530EC" w:rsidRDefault="00F94E22" w:rsidP="00F94E22">
      <w:pPr>
        <w:pStyle w:val="ListParagraph"/>
        <w:numPr>
          <w:ilvl w:val="0"/>
          <w:numId w:val="10"/>
        </w:numPr>
        <w:spacing w:after="120"/>
      </w:pPr>
      <w:r>
        <w:rPr>
          <w:rFonts w:ascii="Arial" w:hAnsi="Arial"/>
          <w:color w:val="333333"/>
          <w:sz w:val="21"/>
        </w:rPr>
        <w:t>The</w:t>
      </w:r>
      <w:r w:rsidR="00000000" w:rsidRPr="00F94E22">
        <w:rPr>
          <w:rFonts w:ascii="Arial" w:hAnsi="Arial"/>
          <w:color w:val="333333"/>
          <w:sz w:val="21"/>
        </w:rPr>
        <w:t xml:space="preserve"> 6-week (42-day) pre-settlement period represents the standard legal default contract term specified by the Law Society of NSW (https://www.lawsociety.com.au/for-the-public/buying-and-selling-property) and Real Estate Institute of NSW (REINSW).</w:t>
      </w:r>
    </w:p>
    <w:p w14:paraId="391CF50B" w14:textId="46A86946" w:rsidR="003530EC" w:rsidRDefault="00000000">
      <w:pPr>
        <w:spacing w:after="80"/>
      </w:pPr>
      <w:r>
        <w:rPr>
          <w:rFonts w:ascii="Arial" w:hAnsi="Arial"/>
          <w:b/>
          <w:color w:val="333333"/>
          <w:sz w:val="21"/>
        </w:rPr>
        <w:t>Step 1: Engage a Mortgage Broker (Cost: $0.00 out-of-pocket)</w:t>
      </w:r>
      <w:r>
        <w:rPr>
          <w:rFonts w:ascii="Arial" w:hAnsi="Arial"/>
          <w:b/>
          <w:color w:val="333333"/>
          <w:sz w:val="21"/>
        </w:rPr>
        <w:br/>
      </w:r>
      <w:r>
        <w:rPr>
          <w:rFonts w:ascii="Arial" w:hAnsi="Arial"/>
          <w:color w:val="333333"/>
          <w:sz w:val="21"/>
        </w:rPr>
        <w:t xml:space="preserve">A licensed mortgage broker will assess borrowing capacity across </w:t>
      </w:r>
      <w:r w:rsidR="00F94E22">
        <w:rPr>
          <w:rFonts w:ascii="Arial" w:hAnsi="Arial"/>
          <w:color w:val="333333"/>
          <w:sz w:val="21"/>
        </w:rPr>
        <w:t xml:space="preserve">lenders. </w:t>
      </w:r>
      <w:r>
        <w:rPr>
          <w:rFonts w:ascii="Arial" w:hAnsi="Arial"/>
          <w:color w:val="333333"/>
          <w:sz w:val="21"/>
        </w:rPr>
        <w:t xml:space="preserve">They are compensated via bank commissions upon settlement. </w:t>
      </w:r>
      <w:r>
        <w:rPr>
          <w:rFonts w:ascii="Arial" w:hAnsi="Arial"/>
          <w:i/>
          <w:color w:val="64748B"/>
          <w:sz w:val="19"/>
        </w:rPr>
        <w:t>(Source: ASIC Moneysmart - https://moneysmart.gov.au/home-loans/using-a-mortgage-broker)</w:t>
      </w:r>
    </w:p>
    <w:p w14:paraId="26F166C3" w14:textId="19616D2C" w:rsidR="003530EC" w:rsidRDefault="00000000">
      <w:pPr>
        <w:spacing w:after="80"/>
      </w:pPr>
      <w:r>
        <w:rPr>
          <w:rFonts w:ascii="Arial" w:hAnsi="Arial"/>
          <w:b/>
          <w:color w:val="333333"/>
          <w:sz w:val="21"/>
        </w:rPr>
        <w:t>Step 2: Obtain Formal Loan Pre-Approval (Cost: $0.00)</w:t>
      </w:r>
      <w:r>
        <w:rPr>
          <w:rFonts w:ascii="Arial" w:hAnsi="Arial"/>
          <w:b/>
          <w:color w:val="333333"/>
          <w:sz w:val="21"/>
        </w:rPr>
        <w:br/>
      </w:r>
      <w:r>
        <w:rPr>
          <w:rFonts w:ascii="Arial" w:hAnsi="Arial"/>
          <w:color w:val="333333"/>
          <w:sz w:val="21"/>
        </w:rPr>
        <w:t xml:space="preserve">Secures a formal lending commitment from a bank. It confirms borrowing capacity, acts as a hard ceiling on my purchase price, and is valid for 90 days. </w:t>
      </w:r>
    </w:p>
    <w:p w14:paraId="1600106C" w14:textId="77777777" w:rsidR="003530EC" w:rsidRDefault="00000000">
      <w:pPr>
        <w:spacing w:after="80"/>
      </w:pPr>
      <w:r>
        <w:rPr>
          <w:rFonts w:ascii="Arial" w:hAnsi="Arial"/>
          <w:b/>
          <w:color w:val="333333"/>
          <w:sz w:val="21"/>
        </w:rPr>
        <w:t>Step 3: Appoint a Licensed Conveyancer or Solicitor (Est. Cost: $2,000 – $3,000)</w:t>
      </w:r>
      <w:r>
        <w:rPr>
          <w:rFonts w:ascii="Arial" w:hAnsi="Arial"/>
          <w:b/>
          <w:color w:val="333333"/>
          <w:sz w:val="21"/>
        </w:rPr>
        <w:br/>
      </w:r>
      <w:r>
        <w:rPr>
          <w:rFonts w:ascii="Arial" w:hAnsi="Arial"/>
          <w:color w:val="333333"/>
          <w:sz w:val="21"/>
        </w:rPr>
        <w:t xml:space="preserve">A conveyancer manages contract reviews, title transfers, and strata records checks. They will audit the strata scheme's financial history to ensure no special levies are pending. </w:t>
      </w:r>
      <w:r>
        <w:rPr>
          <w:rFonts w:ascii="Arial" w:hAnsi="Arial"/>
          <w:i/>
          <w:color w:val="64748B"/>
          <w:sz w:val="19"/>
        </w:rPr>
        <w:t>(Source: NSW Fair Trading - https://www.fairtrading.nsw.gov.au/housing-and-property/buying-and-selling-property/conveyancing)</w:t>
      </w:r>
    </w:p>
    <w:p w14:paraId="1B82C0F3" w14:textId="77777777" w:rsidR="003530EC" w:rsidRDefault="00000000">
      <w:pPr>
        <w:spacing w:after="80"/>
      </w:pPr>
      <w:r>
        <w:rPr>
          <w:rFonts w:ascii="Arial" w:hAnsi="Arial"/>
          <w:b/>
          <w:color w:val="333333"/>
          <w:sz w:val="21"/>
        </w:rPr>
        <w:t>Step 4: Due Diligence &amp; Property Inspections (Est. Cost: $300 – $600)</w:t>
      </w:r>
      <w:r>
        <w:rPr>
          <w:rFonts w:ascii="Arial" w:hAnsi="Arial"/>
          <w:b/>
          <w:color w:val="333333"/>
          <w:sz w:val="21"/>
        </w:rPr>
        <w:br/>
      </w:r>
      <w:r>
        <w:rPr>
          <w:rFonts w:ascii="Arial" w:hAnsi="Arial"/>
          <w:color w:val="333333"/>
          <w:sz w:val="21"/>
        </w:rPr>
        <w:t xml:space="preserve">For established units, a strata search report (~$300) is purchased. For off-the-plan, a professional builder's defect inspection (~$500) will be ordered to force the developer to remediate defects under statutory builder warranties before settlement. </w:t>
      </w:r>
      <w:r>
        <w:rPr>
          <w:rFonts w:ascii="Arial" w:hAnsi="Arial"/>
          <w:i/>
          <w:color w:val="64748B"/>
          <w:sz w:val="19"/>
        </w:rPr>
        <w:t>(Source: NSW Fair Trading - https://www.fairtrading.nsw.gov.au)</w:t>
      </w:r>
    </w:p>
    <w:p w14:paraId="0230E939" w14:textId="77777777" w:rsidR="003530EC" w:rsidRDefault="00000000">
      <w:pPr>
        <w:spacing w:after="240"/>
      </w:pPr>
      <w:r>
        <w:rPr>
          <w:rFonts w:ascii="Arial" w:hAnsi="Arial"/>
          <w:b/>
          <w:color w:val="333333"/>
          <w:sz w:val="21"/>
        </w:rPr>
        <w:t>Step 5: Government Registration Fees (Est. Cost: $300 – $500)</w:t>
      </w:r>
      <w:r>
        <w:rPr>
          <w:rFonts w:ascii="Arial" w:hAnsi="Arial"/>
          <w:b/>
          <w:color w:val="333333"/>
          <w:sz w:val="21"/>
        </w:rPr>
        <w:br/>
      </w:r>
      <w:r>
        <w:rPr>
          <w:rFonts w:ascii="Arial" w:hAnsi="Arial"/>
          <w:color w:val="333333"/>
          <w:sz w:val="21"/>
        </w:rPr>
        <w:t xml:space="preserve">Covers administrative costs to register the mortgage and transfer the title deed into my name. </w:t>
      </w:r>
      <w:r>
        <w:rPr>
          <w:rFonts w:ascii="Arial" w:hAnsi="Arial"/>
          <w:i/>
          <w:color w:val="64748B"/>
          <w:sz w:val="19"/>
        </w:rPr>
        <w:t>(Source: NSW Land Registry Services - https://www.nswlrs.com.au)</w:t>
      </w:r>
    </w:p>
    <w:tbl>
      <w:tblPr>
        <w:tblW w:w="0" w:type="auto"/>
        <w:jc w:val="center"/>
        <w:tblLayout w:type="fixed"/>
        <w:tblLook w:val="04A0" w:firstRow="1" w:lastRow="0" w:firstColumn="1" w:lastColumn="0" w:noHBand="0" w:noVBand="1"/>
      </w:tblPr>
      <w:tblGrid>
        <w:gridCol w:w="9360"/>
      </w:tblGrid>
      <w:tr w:rsidR="003530EC" w14:paraId="41FE6FAF" w14:textId="77777777">
        <w:trPr>
          <w:jc w:val="center"/>
        </w:trPr>
        <w:tc>
          <w:tcPr>
            <w:tcW w:w="9360" w:type="dxa"/>
            <w:tcBorders>
              <w:left w:val="single" w:sz="36" w:space="0" w:color="0F766E"/>
            </w:tcBorders>
            <w:shd w:val="clear" w:color="auto" w:fill="F1F5F9"/>
            <w:tcMar>
              <w:top w:w="140" w:type="dxa"/>
              <w:left w:w="200" w:type="dxa"/>
              <w:bottom w:w="140" w:type="dxa"/>
              <w:right w:w="140" w:type="dxa"/>
            </w:tcMar>
          </w:tcPr>
          <w:p w14:paraId="296FD300" w14:textId="77777777" w:rsidR="003530EC" w:rsidRDefault="00000000">
            <w:pPr>
              <w:spacing w:after="0"/>
            </w:pPr>
            <w:r>
              <w:rPr>
                <w:rFonts w:ascii="Arial" w:hAnsi="Arial"/>
                <w:b/>
                <w:color w:val="0F766E"/>
                <w:sz w:val="21"/>
              </w:rPr>
              <w:lastRenderedPageBreak/>
              <w:t>Transaction Fee Summary</w:t>
            </w:r>
            <w:r>
              <w:rPr>
                <w:rFonts w:ascii="Arial" w:hAnsi="Arial"/>
                <w:b/>
                <w:color w:val="0F766E"/>
                <w:sz w:val="21"/>
              </w:rPr>
              <w:br/>
            </w:r>
            <w:r>
              <w:rPr>
                <w:rFonts w:ascii="Arial" w:hAnsi="Arial"/>
                <w:i/>
                <w:color w:val="475569"/>
                <w:sz w:val="20"/>
              </w:rPr>
              <w:t>To cover all transaction fees (conveyancer, inspections, and government registrations), a dedicated purchasing buffer of $4,500 is allocated. This is fully covered by my current cash reserves and does not affect the $50,000 emergency safety net.</w:t>
            </w:r>
          </w:p>
        </w:tc>
      </w:tr>
    </w:tbl>
    <w:p w14:paraId="590F5E65" w14:textId="77777777" w:rsidR="003530EC" w:rsidRDefault="003530EC">
      <w:pPr>
        <w:spacing w:after="120"/>
      </w:pPr>
    </w:p>
    <w:p w14:paraId="052FF5CE" w14:textId="572B7D25" w:rsidR="003530EC" w:rsidRDefault="00000000" w:rsidP="0030750C">
      <w:pPr>
        <w:spacing w:after="240"/>
        <w:jc w:val="center"/>
      </w:pPr>
      <w:r>
        <w:rPr>
          <w:noProof/>
        </w:rPr>
        <w:drawing>
          <wp:inline distT="0" distB="0" distL="0" distR="0" wp14:anchorId="345D11C3" wp14:editId="717F2B25">
            <wp:extent cx="5943600" cy="2667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_timeline.png"/>
                    <pic:cNvPicPr/>
                  </pic:nvPicPr>
                  <pic:blipFill>
                    <a:blip r:embed="rId16"/>
                    <a:stretch>
                      <a:fillRect/>
                    </a:stretch>
                  </pic:blipFill>
                  <pic:spPr>
                    <a:xfrm>
                      <a:off x="0" y="0"/>
                      <a:ext cx="5943600" cy="2667000"/>
                    </a:xfrm>
                    <a:prstGeom prst="rect">
                      <a:avLst/>
                    </a:prstGeom>
                  </pic:spPr>
                </pic:pic>
              </a:graphicData>
            </a:graphic>
          </wp:inline>
        </w:drawing>
      </w:r>
      <w:r>
        <w:rPr>
          <w:rFonts w:ascii="Arial" w:hAnsi="Arial"/>
          <w:i/>
          <w:color w:val="64748B"/>
          <w:sz w:val="18"/>
        </w:rPr>
        <w:br/>
        <w:t xml:space="preserve">Figure 7:  </w:t>
      </w:r>
      <w:r w:rsidR="0030750C">
        <w:rPr>
          <w:rFonts w:ascii="Arial" w:hAnsi="Arial"/>
          <w:i/>
          <w:color w:val="64748B"/>
          <w:sz w:val="18"/>
        </w:rPr>
        <w:t>P</w:t>
      </w:r>
      <w:r>
        <w:rPr>
          <w:rFonts w:ascii="Arial" w:hAnsi="Arial"/>
          <w:i/>
          <w:color w:val="64748B"/>
          <w:sz w:val="18"/>
        </w:rPr>
        <w:t>roperty acquisition timeline showing key transaction stages and associated cash flow impacts.</w:t>
      </w:r>
    </w:p>
    <w:p w14:paraId="1BF585FA" w14:textId="77777777" w:rsidR="003530EC" w:rsidRDefault="00000000">
      <w:pPr>
        <w:keepNext/>
        <w:spacing w:before="240" w:after="80"/>
      </w:pPr>
      <w:r>
        <w:rPr>
          <w:rFonts w:ascii="Arial" w:hAnsi="Arial"/>
          <w:b/>
          <w:color w:val="0F766E"/>
          <w:sz w:val="24"/>
        </w:rPr>
        <w:t>7.3 Target Search Timing &amp; Deposit Tier Projections</w:t>
      </w:r>
    </w:p>
    <w:p w14:paraId="35218CC1" w14:textId="20D64540" w:rsidR="003530EC" w:rsidRDefault="00000000">
      <w:pPr>
        <w:spacing w:after="120"/>
      </w:pPr>
      <w:r>
        <w:rPr>
          <w:rFonts w:ascii="Arial" w:hAnsi="Arial"/>
          <w:color w:val="333333"/>
          <w:sz w:val="21"/>
        </w:rPr>
        <w:t xml:space="preserve">Based on </w:t>
      </w:r>
      <w:r w:rsidR="0030750C">
        <w:rPr>
          <w:rFonts w:ascii="Arial" w:hAnsi="Arial"/>
          <w:color w:val="333333"/>
          <w:sz w:val="21"/>
        </w:rPr>
        <w:t>the</w:t>
      </w:r>
      <w:r>
        <w:rPr>
          <w:rFonts w:ascii="Arial" w:hAnsi="Arial"/>
          <w:color w:val="333333"/>
          <w:sz w:val="21"/>
        </w:rPr>
        <w:t xml:space="preserve"> current cash position of $132,115 and a monthly savings capacity of $4,013.06, </w:t>
      </w:r>
      <w:r w:rsidR="0030750C">
        <w:rPr>
          <w:rFonts w:ascii="Arial" w:hAnsi="Arial"/>
          <w:color w:val="333333"/>
          <w:sz w:val="21"/>
        </w:rPr>
        <w:t xml:space="preserve">the </w:t>
      </w:r>
      <w:r>
        <w:rPr>
          <w:rFonts w:ascii="Arial" w:hAnsi="Arial"/>
          <w:color w:val="333333"/>
          <w:sz w:val="21"/>
        </w:rPr>
        <w:t xml:space="preserve">property entry timing is </w:t>
      </w:r>
      <w:r w:rsidR="0030750C">
        <w:rPr>
          <w:rFonts w:ascii="Arial" w:hAnsi="Arial"/>
          <w:color w:val="333333"/>
          <w:sz w:val="21"/>
        </w:rPr>
        <w:t xml:space="preserve">somewhat </w:t>
      </w:r>
      <w:r>
        <w:rPr>
          <w:rFonts w:ascii="Arial" w:hAnsi="Arial"/>
          <w:color w:val="333333"/>
          <w:sz w:val="21"/>
        </w:rPr>
        <w:t>flexible. The table below outlines three viable timing windows for starting active property searches depending on the target deposit tier (10%, 15%, or 20%):</w:t>
      </w:r>
    </w:p>
    <w:p w14:paraId="6321A625" w14:textId="77777777" w:rsidR="003530EC" w:rsidRDefault="00000000">
      <w:pPr>
        <w:spacing w:after="120"/>
      </w:pPr>
      <w:r>
        <w:rPr>
          <w:rFonts w:ascii="Arial" w:hAnsi="Arial"/>
          <w:i/>
          <w:color w:val="333333"/>
          <w:sz w:val="21"/>
        </w:rPr>
        <w:t>Table 10: Search Timing &amp; Financial Trade-Offs by Deposit Tier</w:t>
      </w:r>
    </w:p>
    <w:tbl>
      <w:tblPr>
        <w:tblW w:w="0" w:type="auto"/>
        <w:jc w:val="center"/>
        <w:tblLook w:val="04A0" w:firstRow="1" w:lastRow="0" w:firstColumn="1" w:lastColumn="0" w:noHBand="0" w:noVBand="1"/>
      </w:tblPr>
      <w:tblGrid>
        <w:gridCol w:w="1728"/>
        <w:gridCol w:w="1872"/>
        <w:gridCol w:w="1872"/>
        <w:gridCol w:w="1728"/>
        <w:gridCol w:w="2160"/>
      </w:tblGrid>
      <w:tr w:rsidR="003530EC" w14:paraId="2E0021BA" w14:textId="77777777">
        <w:trPr>
          <w:jc w:val="center"/>
        </w:trPr>
        <w:tc>
          <w:tcPr>
            <w:tcW w:w="1728" w:type="dxa"/>
            <w:shd w:val="clear" w:color="auto" w:fill="1F3A60"/>
            <w:tcMar>
              <w:top w:w="120" w:type="dxa"/>
              <w:left w:w="120" w:type="dxa"/>
              <w:bottom w:w="120" w:type="dxa"/>
              <w:right w:w="120" w:type="dxa"/>
            </w:tcMar>
          </w:tcPr>
          <w:p w14:paraId="1CEFD813" w14:textId="77777777" w:rsidR="003530EC" w:rsidRDefault="00000000">
            <w:pPr>
              <w:spacing w:after="0"/>
            </w:pPr>
            <w:r>
              <w:rPr>
                <w:rFonts w:ascii="Arial" w:hAnsi="Arial"/>
                <w:b/>
                <w:color w:val="FFFFFF"/>
                <w:sz w:val="19"/>
              </w:rPr>
              <w:t>Deposit Tier</w:t>
            </w:r>
          </w:p>
        </w:tc>
        <w:tc>
          <w:tcPr>
            <w:tcW w:w="1872" w:type="dxa"/>
            <w:shd w:val="clear" w:color="auto" w:fill="1F3A60"/>
            <w:tcMar>
              <w:top w:w="120" w:type="dxa"/>
              <w:left w:w="120" w:type="dxa"/>
              <w:bottom w:w="120" w:type="dxa"/>
              <w:right w:w="120" w:type="dxa"/>
            </w:tcMar>
          </w:tcPr>
          <w:p w14:paraId="38410354" w14:textId="77777777" w:rsidR="003530EC" w:rsidRDefault="00000000">
            <w:pPr>
              <w:spacing w:after="0"/>
              <w:jc w:val="right"/>
            </w:pPr>
            <w:r>
              <w:rPr>
                <w:rFonts w:ascii="Arial" w:hAnsi="Arial"/>
                <w:b/>
                <w:color w:val="FFFFFF"/>
                <w:sz w:val="19"/>
              </w:rPr>
              <w:t>Cash Required</w:t>
            </w:r>
          </w:p>
        </w:tc>
        <w:tc>
          <w:tcPr>
            <w:tcW w:w="1872" w:type="dxa"/>
            <w:shd w:val="clear" w:color="auto" w:fill="1F3A60"/>
            <w:tcMar>
              <w:top w:w="120" w:type="dxa"/>
              <w:left w:w="120" w:type="dxa"/>
              <w:bottom w:w="120" w:type="dxa"/>
              <w:right w:w="120" w:type="dxa"/>
            </w:tcMar>
          </w:tcPr>
          <w:p w14:paraId="312990B9" w14:textId="77777777" w:rsidR="003530EC" w:rsidRDefault="00000000">
            <w:pPr>
              <w:spacing w:after="0"/>
              <w:jc w:val="right"/>
            </w:pPr>
            <w:r>
              <w:rPr>
                <w:rFonts w:ascii="Arial" w:hAnsi="Arial"/>
                <w:b/>
                <w:color w:val="FFFFFF"/>
                <w:sz w:val="19"/>
              </w:rPr>
              <w:t>Offset Cushion</w:t>
            </w:r>
          </w:p>
        </w:tc>
        <w:tc>
          <w:tcPr>
            <w:tcW w:w="1728" w:type="dxa"/>
            <w:shd w:val="clear" w:color="auto" w:fill="1F3A60"/>
            <w:tcMar>
              <w:top w:w="120" w:type="dxa"/>
              <w:left w:w="120" w:type="dxa"/>
              <w:bottom w:w="120" w:type="dxa"/>
              <w:right w:w="120" w:type="dxa"/>
            </w:tcMar>
          </w:tcPr>
          <w:p w14:paraId="22A1CF91" w14:textId="77777777" w:rsidR="003530EC" w:rsidRDefault="00000000">
            <w:pPr>
              <w:spacing w:after="0"/>
            </w:pPr>
            <w:r>
              <w:rPr>
                <w:rFonts w:ascii="Arial" w:hAnsi="Arial"/>
                <w:b/>
                <w:color w:val="FFFFFF"/>
                <w:sz w:val="19"/>
              </w:rPr>
              <w:t>Timeline</w:t>
            </w:r>
          </w:p>
        </w:tc>
        <w:tc>
          <w:tcPr>
            <w:tcW w:w="2160" w:type="dxa"/>
            <w:shd w:val="clear" w:color="auto" w:fill="1F3A60"/>
            <w:tcMar>
              <w:top w:w="120" w:type="dxa"/>
              <w:left w:w="120" w:type="dxa"/>
              <w:bottom w:w="120" w:type="dxa"/>
              <w:right w:w="120" w:type="dxa"/>
            </w:tcMar>
          </w:tcPr>
          <w:p w14:paraId="34A4B6A8" w14:textId="77777777" w:rsidR="003530EC" w:rsidRDefault="00000000">
            <w:pPr>
              <w:spacing w:after="0"/>
            </w:pPr>
            <w:r>
              <w:rPr>
                <w:rFonts w:ascii="Arial" w:hAnsi="Arial"/>
                <w:b/>
                <w:color w:val="FFFFFF"/>
                <w:sz w:val="19"/>
              </w:rPr>
              <w:t>Strategic Trade-Off</w:t>
            </w:r>
          </w:p>
        </w:tc>
      </w:tr>
      <w:tr w:rsidR="003530EC" w14:paraId="723F4B88" w14:textId="77777777">
        <w:trPr>
          <w:jc w:val="center"/>
        </w:trPr>
        <w:tc>
          <w:tcPr>
            <w:tcW w:w="1728" w:type="dxa"/>
            <w:tcBorders>
              <w:bottom w:val="single" w:sz="4" w:space="0" w:color="E2E8F0"/>
            </w:tcBorders>
            <w:shd w:val="clear" w:color="auto" w:fill="F8FAFC"/>
            <w:tcMar>
              <w:top w:w="100" w:type="dxa"/>
              <w:left w:w="120" w:type="dxa"/>
              <w:bottom w:w="100" w:type="dxa"/>
              <w:right w:w="120" w:type="dxa"/>
            </w:tcMar>
          </w:tcPr>
          <w:p w14:paraId="561A961D" w14:textId="77777777" w:rsidR="003530EC" w:rsidRPr="0030750C" w:rsidRDefault="00000000">
            <w:pPr>
              <w:spacing w:after="0"/>
              <w:rPr>
                <w:sz w:val="18"/>
                <w:szCs w:val="18"/>
              </w:rPr>
            </w:pPr>
            <w:r w:rsidRPr="0030750C">
              <w:rPr>
                <w:sz w:val="18"/>
                <w:szCs w:val="18"/>
              </w:rPr>
              <w:t>10% Deposit (FHBG)</w:t>
            </w:r>
          </w:p>
        </w:tc>
        <w:tc>
          <w:tcPr>
            <w:tcW w:w="1872" w:type="dxa"/>
            <w:tcBorders>
              <w:bottom w:val="single" w:sz="4" w:space="0" w:color="E2E8F0"/>
            </w:tcBorders>
            <w:shd w:val="clear" w:color="auto" w:fill="F8FAFC"/>
            <w:tcMar>
              <w:top w:w="100" w:type="dxa"/>
              <w:left w:w="120" w:type="dxa"/>
              <w:bottom w:w="100" w:type="dxa"/>
              <w:right w:w="120" w:type="dxa"/>
            </w:tcMar>
          </w:tcPr>
          <w:p w14:paraId="54FDC38E" w14:textId="77777777" w:rsidR="003530EC" w:rsidRPr="0030750C" w:rsidRDefault="00000000">
            <w:pPr>
              <w:spacing w:after="0"/>
              <w:jc w:val="right"/>
              <w:rPr>
                <w:sz w:val="18"/>
                <w:szCs w:val="18"/>
              </w:rPr>
            </w:pPr>
            <w:r w:rsidRPr="0030750C">
              <w:rPr>
                <w:sz w:val="18"/>
                <w:szCs w:val="18"/>
              </w:rPr>
              <w:t>$78,300.00</w:t>
            </w:r>
          </w:p>
        </w:tc>
        <w:tc>
          <w:tcPr>
            <w:tcW w:w="1872" w:type="dxa"/>
            <w:tcBorders>
              <w:bottom w:val="single" w:sz="4" w:space="0" w:color="E2E8F0"/>
            </w:tcBorders>
            <w:shd w:val="clear" w:color="auto" w:fill="F8FAFC"/>
            <w:tcMar>
              <w:top w:w="100" w:type="dxa"/>
              <w:left w:w="120" w:type="dxa"/>
              <w:bottom w:w="100" w:type="dxa"/>
              <w:right w:w="120" w:type="dxa"/>
            </w:tcMar>
          </w:tcPr>
          <w:p w14:paraId="26440371" w14:textId="77777777" w:rsidR="003530EC" w:rsidRPr="0030750C" w:rsidRDefault="00000000">
            <w:pPr>
              <w:spacing w:after="0"/>
              <w:jc w:val="right"/>
              <w:rPr>
                <w:sz w:val="18"/>
                <w:szCs w:val="18"/>
              </w:rPr>
            </w:pPr>
            <w:r w:rsidRPr="0030750C">
              <w:rPr>
                <w:sz w:val="18"/>
                <w:szCs w:val="18"/>
              </w:rPr>
              <w:t>$53,815.00</w:t>
            </w:r>
          </w:p>
        </w:tc>
        <w:tc>
          <w:tcPr>
            <w:tcW w:w="1728" w:type="dxa"/>
            <w:tcBorders>
              <w:bottom w:val="single" w:sz="4" w:space="0" w:color="E2E8F0"/>
            </w:tcBorders>
            <w:shd w:val="clear" w:color="auto" w:fill="F8FAFC"/>
            <w:tcMar>
              <w:top w:w="100" w:type="dxa"/>
              <w:left w:w="120" w:type="dxa"/>
              <w:bottom w:w="100" w:type="dxa"/>
              <w:right w:w="120" w:type="dxa"/>
            </w:tcMar>
          </w:tcPr>
          <w:p w14:paraId="1A44CC43" w14:textId="77777777" w:rsidR="003530EC" w:rsidRPr="0030750C" w:rsidRDefault="00000000">
            <w:pPr>
              <w:spacing w:after="0"/>
              <w:rPr>
                <w:sz w:val="18"/>
                <w:szCs w:val="18"/>
              </w:rPr>
            </w:pPr>
            <w:r w:rsidRPr="0030750C">
              <w:rPr>
                <w:sz w:val="18"/>
                <w:szCs w:val="18"/>
              </w:rPr>
              <w:t>Immediate (Aug 2026)</w:t>
            </w:r>
          </w:p>
        </w:tc>
        <w:tc>
          <w:tcPr>
            <w:tcW w:w="2160" w:type="dxa"/>
            <w:tcBorders>
              <w:bottom w:val="single" w:sz="4" w:space="0" w:color="E2E8F0"/>
            </w:tcBorders>
            <w:shd w:val="clear" w:color="auto" w:fill="F8FAFC"/>
            <w:tcMar>
              <w:top w:w="100" w:type="dxa"/>
              <w:left w:w="120" w:type="dxa"/>
              <w:bottom w:w="100" w:type="dxa"/>
              <w:right w:w="120" w:type="dxa"/>
            </w:tcMar>
          </w:tcPr>
          <w:p w14:paraId="5C5CE162" w14:textId="77777777" w:rsidR="003530EC" w:rsidRPr="0030750C" w:rsidRDefault="00000000">
            <w:pPr>
              <w:spacing w:after="0"/>
              <w:rPr>
                <w:sz w:val="18"/>
                <w:szCs w:val="18"/>
              </w:rPr>
            </w:pPr>
            <w:r w:rsidRPr="0030750C">
              <w:rPr>
                <w:sz w:val="18"/>
                <w:szCs w:val="18"/>
              </w:rPr>
              <w:t>FHBG reservation required; slightly higher monthly repayments ($4,047/mo).</w:t>
            </w:r>
          </w:p>
        </w:tc>
      </w:tr>
      <w:tr w:rsidR="003530EC" w14:paraId="7B8A0D0D" w14:textId="77777777">
        <w:trPr>
          <w:jc w:val="center"/>
        </w:trPr>
        <w:tc>
          <w:tcPr>
            <w:tcW w:w="1728" w:type="dxa"/>
            <w:tcBorders>
              <w:bottom w:val="single" w:sz="4" w:space="0" w:color="E2E8F0"/>
            </w:tcBorders>
            <w:shd w:val="clear" w:color="auto" w:fill="FFFFFF"/>
            <w:tcMar>
              <w:top w:w="100" w:type="dxa"/>
              <w:left w:w="120" w:type="dxa"/>
              <w:bottom w:w="100" w:type="dxa"/>
              <w:right w:w="120" w:type="dxa"/>
            </w:tcMar>
          </w:tcPr>
          <w:p w14:paraId="0141A5EF" w14:textId="77777777" w:rsidR="003530EC" w:rsidRPr="0030750C" w:rsidRDefault="00000000">
            <w:pPr>
              <w:spacing w:after="0"/>
              <w:rPr>
                <w:sz w:val="18"/>
                <w:szCs w:val="18"/>
              </w:rPr>
            </w:pPr>
            <w:r w:rsidRPr="0030750C">
              <w:rPr>
                <w:sz w:val="18"/>
                <w:szCs w:val="18"/>
              </w:rPr>
              <w:t>15% Deposit (FHBG)</w:t>
            </w:r>
          </w:p>
        </w:tc>
        <w:tc>
          <w:tcPr>
            <w:tcW w:w="1872" w:type="dxa"/>
            <w:tcBorders>
              <w:bottom w:val="single" w:sz="4" w:space="0" w:color="E2E8F0"/>
            </w:tcBorders>
            <w:shd w:val="clear" w:color="auto" w:fill="FFFFFF"/>
            <w:tcMar>
              <w:top w:w="100" w:type="dxa"/>
              <w:left w:w="120" w:type="dxa"/>
              <w:bottom w:w="100" w:type="dxa"/>
              <w:right w:w="120" w:type="dxa"/>
            </w:tcMar>
          </w:tcPr>
          <w:p w14:paraId="4E876929" w14:textId="77777777" w:rsidR="003530EC" w:rsidRPr="0030750C" w:rsidRDefault="00000000">
            <w:pPr>
              <w:spacing w:after="0"/>
              <w:jc w:val="right"/>
              <w:rPr>
                <w:sz w:val="18"/>
                <w:szCs w:val="18"/>
              </w:rPr>
            </w:pPr>
            <w:r w:rsidRPr="0030750C">
              <w:rPr>
                <w:sz w:val="18"/>
                <w:szCs w:val="18"/>
              </w:rPr>
              <w:t>$115,800.00</w:t>
            </w:r>
          </w:p>
        </w:tc>
        <w:tc>
          <w:tcPr>
            <w:tcW w:w="1872" w:type="dxa"/>
            <w:tcBorders>
              <w:bottom w:val="single" w:sz="4" w:space="0" w:color="E2E8F0"/>
            </w:tcBorders>
            <w:shd w:val="clear" w:color="auto" w:fill="FFFFFF"/>
            <w:tcMar>
              <w:top w:w="100" w:type="dxa"/>
              <w:left w:w="120" w:type="dxa"/>
              <w:bottom w:w="100" w:type="dxa"/>
              <w:right w:w="120" w:type="dxa"/>
            </w:tcMar>
          </w:tcPr>
          <w:p w14:paraId="3BDA3199" w14:textId="77777777" w:rsidR="003530EC" w:rsidRPr="0030750C" w:rsidRDefault="00000000">
            <w:pPr>
              <w:spacing w:after="0"/>
              <w:jc w:val="right"/>
              <w:rPr>
                <w:sz w:val="18"/>
                <w:szCs w:val="18"/>
              </w:rPr>
            </w:pPr>
            <w:r w:rsidRPr="0030750C">
              <w:rPr>
                <w:sz w:val="18"/>
                <w:szCs w:val="18"/>
              </w:rPr>
              <w:t>$50,000.00</w:t>
            </w:r>
          </w:p>
        </w:tc>
        <w:tc>
          <w:tcPr>
            <w:tcW w:w="1728" w:type="dxa"/>
            <w:tcBorders>
              <w:bottom w:val="single" w:sz="4" w:space="0" w:color="E2E8F0"/>
            </w:tcBorders>
            <w:shd w:val="clear" w:color="auto" w:fill="FFFFFF"/>
            <w:tcMar>
              <w:top w:w="100" w:type="dxa"/>
              <w:left w:w="120" w:type="dxa"/>
              <w:bottom w:w="100" w:type="dxa"/>
              <w:right w:w="120" w:type="dxa"/>
            </w:tcMar>
          </w:tcPr>
          <w:p w14:paraId="3CAD8882" w14:textId="77777777" w:rsidR="003530EC" w:rsidRPr="0030750C" w:rsidRDefault="00000000">
            <w:pPr>
              <w:spacing w:after="0"/>
              <w:rPr>
                <w:sz w:val="18"/>
                <w:szCs w:val="18"/>
              </w:rPr>
            </w:pPr>
            <w:r w:rsidRPr="0030750C">
              <w:rPr>
                <w:sz w:val="18"/>
                <w:szCs w:val="18"/>
              </w:rPr>
              <w:t>8 Months (Apr 2027)</w:t>
            </w:r>
          </w:p>
        </w:tc>
        <w:tc>
          <w:tcPr>
            <w:tcW w:w="2160" w:type="dxa"/>
            <w:tcBorders>
              <w:bottom w:val="single" w:sz="4" w:space="0" w:color="E2E8F0"/>
            </w:tcBorders>
            <w:shd w:val="clear" w:color="auto" w:fill="FFFFFF"/>
            <w:tcMar>
              <w:top w:w="100" w:type="dxa"/>
              <w:left w:w="120" w:type="dxa"/>
              <w:bottom w:w="100" w:type="dxa"/>
              <w:right w:w="120" w:type="dxa"/>
            </w:tcMar>
          </w:tcPr>
          <w:p w14:paraId="685AB978" w14:textId="77777777" w:rsidR="003530EC" w:rsidRPr="0030750C" w:rsidRDefault="00000000">
            <w:pPr>
              <w:spacing w:after="0"/>
              <w:rPr>
                <w:sz w:val="18"/>
                <w:szCs w:val="18"/>
              </w:rPr>
            </w:pPr>
            <w:r w:rsidRPr="0030750C">
              <w:rPr>
                <w:sz w:val="18"/>
                <w:szCs w:val="18"/>
              </w:rPr>
              <w:t>Reduces mortgage to $637.5k; cuts repayments by $225/mo to $3,822/mo.</w:t>
            </w:r>
          </w:p>
        </w:tc>
      </w:tr>
      <w:tr w:rsidR="003530EC" w14:paraId="2236AA11" w14:textId="77777777">
        <w:trPr>
          <w:jc w:val="center"/>
        </w:trPr>
        <w:tc>
          <w:tcPr>
            <w:tcW w:w="1728" w:type="dxa"/>
            <w:tcBorders>
              <w:bottom w:val="single" w:sz="4" w:space="0" w:color="E2E8F0"/>
            </w:tcBorders>
            <w:shd w:val="clear" w:color="auto" w:fill="F8FAFC"/>
            <w:tcMar>
              <w:top w:w="100" w:type="dxa"/>
              <w:left w:w="120" w:type="dxa"/>
              <w:bottom w:w="100" w:type="dxa"/>
              <w:right w:w="120" w:type="dxa"/>
            </w:tcMar>
          </w:tcPr>
          <w:p w14:paraId="7A23B177" w14:textId="77777777" w:rsidR="003530EC" w:rsidRPr="0030750C" w:rsidRDefault="00000000">
            <w:pPr>
              <w:spacing w:after="0"/>
              <w:rPr>
                <w:sz w:val="18"/>
                <w:szCs w:val="18"/>
              </w:rPr>
            </w:pPr>
            <w:r w:rsidRPr="0030750C">
              <w:rPr>
                <w:sz w:val="18"/>
                <w:szCs w:val="18"/>
              </w:rPr>
              <w:t>20% Deposit (Standard)</w:t>
            </w:r>
          </w:p>
        </w:tc>
        <w:tc>
          <w:tcPr>
            <w:tcW w:w="1872" w:type="dxa"/>
            <w:tcBorders>
              <w:bottom w:val="single" w:sz="4" w:space="0" w:color="E2E8F0"/>
            </w:tcBorders>
            <w:shd w:val="clear" w:color="auto" w:fill="F8FAFC"/>
            <w:tcMar>
              <w:top w:w="100" w:type="dxa"/>
              <w:left w:w="120" w:type="dxa"/>
              <w:bottom w:w="100" w:type="dxa"/>
              <w:right w:w="120" w:type="dxa"/>
            </w:tcMar>
          </w:tcPr>
          <w:p w14:paraId="465C2B46" w14:textId="77777777" w:rsidR="003530EC" w:rsidRPr="0030750C" w:rsidRDefault="00000000">
            <w:pPr>
              <w:spacing w:after="0"/>
              <w:jc w:val="right"/>
              <w:rPr>
                <w:sz w:val="18"/>
                <w:szCs w:val="18"/>
              </w:rPr>
            </w:pPr>
            <w:r w:rsidRPr="0030750C">
              <w:rPr>
                <w:sz w:val="18"/>
                <w:szCs w:val="18"/>
              </w:rPr>
              <w:t>$153,300.00</w:t>
            </w:r>
          </w:p>
        </w:tc>
        <w:tc>
          <w:tcPr>
            <w:tcW w:w="1872" w:type="dxa"/>
            <w:tcBorders>
              <w:bottom w:val="single" w:sz="4" w:space="0" w:color="E2E8F0"/>
            </w:tcBorders>
            <w:shd w:val="clear" w:color="auto" w:fill="F8FAFC"/>
            <w:tcMar>
              <w:top w:w="100" w:type="dxa"/>
              <w:left w:w="120" w:type="dxa"/>
              <w:bottom w:w="100" w:type="dxa"/>
              <w:right w:w="120" w:type="dxa"/>
            </w:tcMar>
          </w:tcPr>
          <w:p w14:paraId="58F4FECF" w14:textId="77777777" w:rsidR="003530EC" w:rsidRPr="0030750C" w:rsidRDefault="00000000">
            <w:pPr>
              <w:spacing w:after="0"/>
              <w:jc w:val="right"/>
              <w:rPr>
                <w:sz w:val="18"/>
                <w:szCs w:val="18"/>
              </w:rPr>
            </w:pPr>
            <w:r w:rsidRPr="0030750C">
              <w:rPr>
                <w:sz w:val="18"/>
                <w:szCs w:val="18"/>
              </w:rPr>
              <w:t>$50,000.00</w:t>
            </w:r>
          </w:p>
        </w:tc>
        <w:tc>
          <w:tcPr>
            <w:tcW w:w="1728" w:type="dxa"/>
            <w:tcBorders>
              <w:bottom w:val="single" w:sz="4" w:space="0" w:color="E2E8F0"/>
            </w:tcBorders>
            <w:shd w:val="clear" w:color="auto" w:fill="F8FAFC"/>
            <w:tcMar>
              <w:top w:w="100" w:type="dxa"/>
              <w:left w:w="120" w:type="dxa"/>
              <w:bottom w:w="100" w:type="dxa"/>
              <w:right w:w="120" w:type="dxa"/>
            </w:tcMar>
          </w:tcPr>
          <w:p w14:paraId="49E037FF" w14:textId="77777777" w:rsidR="003530EC" w:rsidRPr="0030750C" w:rsidRDefault="00000000">
            <w:pPr>
              <w:spacing w:after="0"/>
              <w:rPr>
                <w:sz w:val="18"/>
                <w:szCs w:val="18"/>
              </w:rPr>
            </w:pPr>
            <w:r w:rsidRPr="0030750C">
              <w:rPr>
                <w:sz w:val="18"/>
                <w:szCs w:val="18"/>
              </w:rPr>
              <w:t>17 Months (Feb 2028)</w:t>
            </w:r>
          </w:p>
        </w:tc>
        <w:tc>
          <w:tcPr>
            <w:tcW w:w="2160" w:type="dxa"/>
            <w:tcBorders>
              <w:bottom w:val="single" w:sz="4" w:space="0" w:color="E2E8F0"/>
            </w:tcBorders>
            <w:shd w:val="clear" w:color="auto" w:fill="F8FAFC"/>
            <w:tcMar>
              <w:top w:w="100" w:type="dxa"/>
              <w:left w:w="120" w:type="dxa"/>
              <w:bottom w:w="100" w:type="dxa"/>
              <w:right w:w="120" w:type="dxa"/>
            </w:tcMar>
          </w:tcPr>
          <w:p w14:paraId="39D10196" w14:textId="77777777" w:rsidR="003530EC" w:rsidRPr="0030750C" w:rsidRDefault="00000000">
            <w:pPr>
              <w:spacing w:after="0"/>
              <w:rPr>
                <w:sz w:val="18"/>
                <w:szCs w:val="18"/>
              </w:rPr>
            </w:pPr>
            <w:r w:rsidRPr="0030750C">
              <w:rPr>
                <w:sz w:val="18"/>
                <w:szCs w:val="18"/>
              </w:rPr>
              <w:t>Reduces mortgage to $600k; lowest repayments ($3,597/mo); no FHBG dependence.</w:t>
            </w:r>
          </w:p>
        </w:tc>
      </w:tr>
    </w:tbl>
    <w:p w14:paraId="26270819" w14:textId="77777777" w:rsidR="003530EC" w:rsidRDefault="003530EC">
      <w:pPr>
        <w:spacing w:after="240"/>
      </w:pPr>
    </w:p>
    <w:p w14:paraId="426E6A38" w14:textId="3B54E2B7" w:rsidR="003530EC" w:rsidRDefault="00000000">
      <w:pPr>
        <w:spacing w:after="120"/>
      </w:pPr>
      <w:r w:rsidRPr="0030750C">
        <w:rPr>
          <w:rFonts w:ascii="Arial" w:hAnsi="Arial"/>
          <w:b/>
          <w:bCs/>
          <w:color w:val="333333"/>
          <w:sz w:val="21"/>
        </w:rPr>
        <w:lastRenderedPageBreak/>
        <w:t>Key Timing Strategy:</w:t>
      </w:r>
      <w:r>
        <w:rPr>
          <w:rFonts w:ascii="Arial" w:hAnsi="Arial"/>
          <w:color w:val="333333"/>
          <w:sz w:val="21"/>
        </w:rPr>
        <w:t xml:space="preserve"> I am financially positioned to start looking for properties immediately under the 10% deposit FHBG strategy. However, if I choose to wait just </w:t>
      </w:r>
      <w:r w:rsidR="0030750C">
        <w:rPr>
          <w:rFonts w:ascii="Arial" w:hAnsi="Arial"/>
          <w:color w:val="333333"/>
          <w:sz w:val="21"/>
        </w:rPr>
        <w:t>several</w:t>
      </w:r>
      <w:r>
        <w:rPr>
          <w:rFonts w:ascii="Arial" w:hAnsi="Arial"/>
          <w:color w:val="333333"/>
          <w:sz w:val="21"/>
        </w:rPr>
        <w:t xml:space="preserve"> months</w:t>
      </w:r>
      <w:r w:rsidR="0030750C">
        <w:rPr>
          <w:rFonts w:ascii="Arial" w:hAnsi="Arial"/>
          <w:color w:val="333333"/>
          <w:sz w:val="21"/>
        </w:rPr>
        <w:t xml:space="preserve">, </w:t>
      </w:r>
      <w:r>
        <w:rPr>
          <w:rFonts w:ascii="Arial" w:hAnsi="Arial"/>
          <w:color w:val="333333"/>
          <w:sz w:val="21"/>
        </w:rPr>
        <w:t>I can step up to a 15% deposit. This provides a balanced middle-ground: it reduces the mortgage size and interest charges while still utilizing the FHBG scheme to avoid LMI, keeping my post-purchase safety net fully intact.</w:t>
      </w:r>
    </w:p>
    <w:sectPr w:rsidR="003530EC" w:rsidSect="0003461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703153" w14:textId="77777777" w:rsidR="00BF3E5F" w:rsidRDefault="00BF3E5F">
      <w:pPr>
        <w:spacing w:after="0" w:line="240" w:lineRule="auto"/>
      </w:pPr>
      <w:r>
        <w:separator/>
      </w:r>
    </w:p>
  </w:endnote>
  <w:endnote w:type="continuationSeparator" w:id="0">
    <w:p w14:paraId="780C9E89" w14:textId="77777777" w:rsidR="00BF3E5F" w:rsidRDefault="00BF3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2327808"/>
      <w:docPartObj>
        <w:docPartGallery w:val="Page Numbers (Bottom of Page)"/>
        <w:docPartUnique/>
      </w:docPartObj>
    </w:sdtPr>
    <w:sdtContent>
      <w:p w14:paraId="2B8B2714" w14:textId="4D4C460B" w:rsidR="002F757D" w:rsidRDefault="002F757D" w:rsidP="00E608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5728F6" w14:textId="77777777" w:rsidR="002F757D" w:rsidRDefault="002F757D" w:rsidP="002F757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1750530"/>
      <w:docPartObj>
        <w:docPartGallery w:val="Page Numbers (Bottom of Page)"/>
        <w:docPartUnique/>
      </w:docPartObj>
    </w:sdtPr>
    <w:sdtContent>
      <w:p w14:paraId="360FC213" w14:textId="40A2A48D" w:rsidR="002F757D" w:rsidRDefault="002F757D" w:rsidP="00E608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8C604BD" w14:textId="3B88FB94" w:rsidR="003530EC" w:rsidRDefault="003530EC" w:rsidP="002F757D">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D390B7" w14:textId="77777777" w:rsidR="00BF3E5F" w:rsidRDefault="00BF3E5F">
      <w:pPr>
        <w:spacing w:after="0" w:line="240" w:lineRule="auto"/>
      </w:pPr>
      <w:r>
        <w:separator/>
      </w:r>
    </w:p>
  </w:footnote>
  <w:footnote w:type="continuationSeparator" w:id="0">
    <w:p w14:paraId="0DE7F168" w14:textId="77777777" w:rsidR="00BF3E5F" w:rsidRDefault="00BF3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3D3E8B" w14:textId="77777777" w:rsidR="003530EC" w:rsidRDefault="00000000">
    <w:pPr>
      <w:pStyle w:val="Header"/>
      <w:jc w:val="right"/>
    </w:pPr>
    <w:r>
      <w:rPr>
        <w:rFonts w:ascii="Arial" w:hAnsi="Arial"/>
        <w:color w:val="94A3B8"/>
        <w:sz w:val="17"/>
      </w:rPr>
      <w:t>Financial Position &amp; Property Acquisition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2324A8"/>
    <w:multiLevelType w:val="hybridMultilevel"/>
    <w:tmpl w:val="0AC0B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3440255">
    <w:abstractNumId w:val="8"/>
  </w:num>
  <w:num w:numId="2" w16cid:durableId="1690793002">
    <w:abstractNumId w:val="6"/>
  </w:num>
  <w:num w:numId="3" w16cid:durableId="1669596701">
    <w:abstractNumId w:val="5"/>
  </w:num>
  <w:num w:numId="4" w16cid:durableId="1853686775">
    <w:abstractNumId w:val="4"/>
  </w:num>
  <w:num w:numId="5" w16cid:durableId="1586377585">
    <w:abstractNumId w:val="7"/>
  </w:num>
  <w:num w:numId="6" w16cid:durableId="307975050">
    <w:abstractNumId w:val="3"/>
  </w:num>
  <w:num w:numId="7" w16cid:durableId="1830435507">
    <w:abstractNumId w:val="2"/>
  </w:num>
  <w:num w:numId="8" w16cid:durableId="1028869127">
    <w:abstractNumId w:val="1"/>
  </w:num>
  <w:num w:numId="9" w16cid:durableId="1345134392">
    <w:abstractNumId w:val="0"/>
  </w:num>
  <w:num w:numId="10" w16cid:durableId="179937507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3E1"/>
    <w:rsid w:val="0006063C"/>
    <w:rsid w:val="0015074B"/>
    <w:rsid w:val="0019763E"/>
    <w:rsid w:val="0029639D"/>
    <w:rsid w:val="002F757D"/>
    <w:rsid w:val="0030750C"/>
    <w:rsid w:val="00326F90"/>
    <w:rsid w:val="003530EC"/>
    <w:rsid w:val="00484318"/>
    <w:rsid w:val="005F5A77"/>
    <w:rsid w:val="007E1D61"/>
    <w:rsid w:val="00AA1D8D"/>
    <w:rsid w:val="00AF1252"/>
    <w:rsid w:val="00B47730"/>
    <w:rsid w:val="00BF3E5F"/>
    <w:rsid w:val="00CB0664"/>
    <w:rsid w:val="00F94E22"/>
    <w:rsid w:val="00FC693F"/>
    <w:rsid w:val="00FD42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15607"/>
  <w14:defaultImageDpi w14:val="300"/>
  <w15:docId w15:val="{637C088F-8D47-DD48-AC63-9141C182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2F757D"/>
  </w:style>
  <w:style w:type="character" w:styleId="Hyperlink">
    <w:name w:val="Hyperlink"/>
    <w:basedOn w:val="DefaultParagraphFont"/>
    <w:uiPriority w:val="99"/>
    <w:unhideWhenUsed/>
    <w:rsid w:val="00F94E22"/>
    <w:rPr>
      <w:color w:val="0000FF" w:themeColor="hyperlink"/>
      <w:u w:val="single"/>
    </w:rPr>
  </w:style>
  <w:style w:type="character" w:styleId="UnresolvedMention">
    <w:name w:val="Unresolved Mention"/>
    <w:basedOn w:val="DefaultParagraphFont"/>
    <w:uiPriority w:val="99"/>
    <w:semiHidden/>
    <w:unhideWhenUsed/>
    <w:rsid w:val="00F94E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domain.com.au"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moneysmart.gov.au/home-loans/pre-approval-for-a-home-lo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4059</Words>
  <Characters>23140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Joel Domingo</cp:lastModifiedBy>
  <cp:revision>2</cp:revision>
  <dcterms:created xsi:type="dcterms:W3CDTF">2026-08-08T17:05:00Z</dcterms:created>
  <dcterms:modified xsi:type="dcterms:W3CDTF">2026-08-08T17:05:00Z</dcterms:modified>
  <cp:category/>
</cp:coreProperties>
</file>