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Design Engineer - Summary</w:t>
      </w:r>
    </w:p>
    <w:p>
      <w:r>
        <w:t>Timestamp: 2025-10-09 03:31</w:t>
      </w:r>
    </w:p>
    <w:p>
      <w:r>
        <w:t xml:space="preserve"> </w:t>
      </w:r>
    </w:p>
    <w:p>
      <w:pPr>
        <w:pStyle w:val="Heading2"/>
      </w:pPr>
      <w:r>
        <w:t>What was requested (my understanding)</w:t>
      </w:r>
    </w:p>
    <w:p>
      <w:r>
        <w:t>{</w:t>
        <w:br/>
        <w:t xml:space="preserve">  "task": "panel_schedule",</w:t>
        <w:br/>
        <w:t xml:space="preserve">  "project": "Demo Project",</w:t>
        <w:br/>
        <w:t xml:space="preserve">  "pending_confirmation": true,</w:t>
        <w:br/>
        <w:t xml:space="preserve">  "number_of_ckts": 42,</w:t>
        <w:br/>
        <w:t xml:space="preserve">  "panel_name": "PP-TEST1"</w:t>
        <w:br/>
        <w:t>}</w:t>
      </w:r>
    </w:p>
    <w:p>
      <w:pPr>
        <w:pStyle w:val="Heading2"/>
      </w:pPr>
      <w:r>
        <w:t>What was done &amp; why</w:t>
      </w:r>
    </w:p>
    <w:p>
      <w:r>
        <w:t>Generated draft design artifacts based on your instructions and project standards. Outputs are provided in the ZIP. Rationale: match scope to request, adhere to configured layers/symbols, and provide deterministic CAD structure for downstream PE review.</w:t>
      </w:r>
    </w:p>
    <w:p>
      <w:pPr>
        <w:pStyle w:val="Heading2"/>
      </w:pPr>
      <w:r>
        <w:t>Ethical considerations</w:t>
      </w:r>
    </w:p>
    <w:p>
      <w:r>
        <w:t>This draft was produced by an AI-assisted workflow. It should be reviewed by a licensed Professional Engineer before use in construction. The intent is to improve efficiency while maintaining public safety and code compliance. All generative steps are logged via inputs/plan to preserve auditability.</w:t>
      </w:r>
    </w:p>
    <w:p>
      <w:pPr>
        <w:pStyle w:val="Heading2"/>
      </w:pPr>
      <w:r>
        <w:t>PE review checklist</w:t>
      </w:r>
    </w:p>
    <w:p>
      <w:r>
        <w:t>- Confirm service size, feeder/breaker coordination, and fault current assumptions.</w:t>
        <w:br/>
        <w:t>- Verify equipment ratings and selective coordination where required.</w:t>
        <w:br/>
        <w:t>- Validate conductor sizes, voltage drop and grounding/bonding details.</w:t>
        <w:br/>
        <w:t>- Confirm device locations against architectural constraints and egress.</w:t>
        <w:br/>
        <w:t>- Stamp only after verifying that calculations, notes, and details meet local/state amendments.</w:t>
      </w:r>
    </w:p>
    <w:p>
      <w:pPr>
        <w:pStyle w:val="Heading2"/>
      </w:pPr>
      <w:r>
        <w:t>Relevant NEC sections (non-exhaustive)</w:t>
      </w:r>
    </w:p>
    <w:p>
      <w:r>
        <w:t>Articles commonly implicated by power plans and one-lines may include: 90 (Introduction &amp; Enforcement), 100 (Definitions), 110 (Requirements for Electrical Installations), 200 (Use and Identification of Grounded Conductors), 210 (Branch Circuits), 215 (Feeders), 220 (Branch-Circuit, Feeder, and Service Calculations), 225 (Outside Branch Circuits and Feeders), 230 (Services), 240 (Overcurrent Protection), 250 (Grounding and Bonding), 300 (Wiring Methods), 310 (Conductors), 408 (Switchboards, Switchgear, Panelboards), 450 (Transformers), 700/701/702 (Emergency/Legally Required/Optional Standby), 760 (Fire Alarm), 800+ (Communications) as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