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ACF88" w14:textId="5C222F96" w:rsidR="007463D4" w:rsidRPr="000B10D4" w:rsidRDefault="006D7968" w:rsidP="000B10D4">
      <w:pPr>
        <w:rPr>
          <w:b/>
        </w:rPr>
      </w:pPr>
      <w:commentRangeStart w:id="0"/>
      <w:r>
        <w:rPr>
          <w:b/>
        </w:rPr>
        <w:t>Whether</w:t>
      </w:r>
      <w:commentRangeEnd w:id="0"/>
      <w:r w:rsidR="009C102A">
        <w:rPr>
          <w:rStyle w:val="CommentReference"/>
        </w:rPr>
        <w:commentReference w:id="0"/>
      </w:r>
      <w:r>
        <w:rPr>
          <w:b/>
        </w:rPr>
        <w:t xml:space="preserve"> (</w:t>
      </w:r>
      <w:commentRangeStart w:id="1"/>
      <w:r>
        <w:rPr>
          <w:b/>
        </w:rPr>
        <w:t>and</w:t>
      </w:r>
      <w:commentRangeEnd w:id="1"/>
      <w:r w:rsidR="00BB4BAF">
        <w:rPr>
          <w:rStyle w:val="CommentReference"/>
        </w:rPr>
        <w:commentReference w:id="1"/>
      </w:r>
      <w:r>
        <w:rPr>
          <w:b/>
        </w:rPr>
        <w:t xml:space="preserve"> h</w:t>
      </w:r>
      <w:r w:rsidR="000B10D4" w:rsidRPr="000B10D4">
        <w:rPr>
          <w:b/>
        </w:rPr>
        <w:t>ow high</w:t>
      </w:r>
      <w:r>
        <w:rPr>
          <w:b/>
        </w:rPr>
        <w:t>)</w:t>
      </w:r>
      <w:r w:rsidR="000B10D4" w:rsidRPr="000B10D4">
        <w:rPr>
          <w:b/>
        </w:rPr>
        <w:t xml:space="preserve"> to elevate</w:t>
      </w:r>
      <w:r w:rsidR="000B10D4">
        <w:rPr>
          <w:b/>
        </w:rPr>
        <w:t xml:space="preserve"> </w:t>
      </w:r>
      <w:r w:rsidR="000B10D4" w:rsidRPr="000B10D4">
        <w:rPr>
          <w:b/>
        </w:rPr>
        <w:t xml:space="preserve">a </w:t>
      </w:r>
      <w:r>
        <w:rPr>
          <w:b/>
        </w:rPr>
        <w:t>building</w:t>
      </w:r>
      <w:commentRangeStart w:id="2"/>
      <w:r w:rsidR="000B10D4" w:rsidRPr="000B10D4">
        <w:rPr>
          <w:b/>
        </w:rPr>
        <w:t xml:space="preserve"> </w:t>
      </w:r>
      <w:commentRangeEnd w:id="2"/>
      <w:r>
        <w:rPr>
          <w:rStyle w:val="CommentReference"/>
        </w:rPr>
        <w:commentReference w:id="2"/>
      </w:r>
      <w:r w:rsidR="000B10D4" w:rsidRPr="000B10D4">
        <w:rPr>
          <w:b/>
        </w:rPr>
        <w:t xml:space="preserve">to manage deeply uncertain </w:t>
      </w:r>
      <w:r w:rsidR="00DC3E99">
        <w:rPr>
          <w:b/>
        </w:rPr>
        <w:t xml:space="preserve">riverine </w:t>
      </w:r>
      <w:r w:rsidR="000B10D4" w:rsidRPr="000B10D4">
        <w:rPr>
          <w:b/>
        </w:rPr>
        <w:t>flood risks?</w:t>
      </w:r>
    </w:p>
    <w:p w14:paraId="3AA86913" w14:textId="6600A042" w:rsidR="007463D4" w:rsidRPr="007463D4" w:rsidRDefault="007463D4" w:rsidP="0094758E">
      <w:pPr>
        <w:rPr>
          <w:rFonts w:cs="Times New Roman"/>
        </w:rPr>
      </w:pPr>
      <w:r w:rsidRPr="007463D4">
        <w:t>Mahkameh Zarekarizi</w:t>
      </w:r>
      <w:r w:rsidRPr="007463D4">
        <w:rPr>
          <w:sz w:val="13"/>
          <w:szCs w:val="13"/>
          <w:vertAlign w:val="superscript"/>
        </w:rPr>
        <w:t>1</w:t>
      </w:r>
      <w:r w:rsidRPr="007463D4">
        <w:t>, and Klaus Keller</w:t>
      </w:r>
      <w:r w:rsidRPr="007463D4">
        <w:rPr>
          <w:sz w:val="13"/>
          <w:szCs w:val="13"/>
          <w:vertAlign w:val="superscript"/>
        </w:rPr>
        <w:t>1,</w:t>
      </w:r>
      <w:commentRangeStart w:id="3"/>
      <w:r w:rsidRPr="007463D4">
        <w:rPr>
          <w:sz w:val="13"/>
          <w:szCs w:val="13"/>
          <w:vertAlign w:val="superscript"/>
        </w:rPr>
        <w:t>2</w:t>
      </w:r>
      <w:commentRangeEnd w:id="3"/>
      <w:r w:rsidR="006D7968">
        <w:rPr>
          <w:rStyle w:val="CommentReference"/>
        </w:rPr>
        <w:commentReference w:id="3"/>
      </w:r>
    </w:p>
    <w:p w14:paraId="69D3E17B" w14:textId="77777777" w:rsidR="007463D4" w:rsidRPr="007463D4" w:rsidRDefault="007463D4" w:rsidP="0094758E">
      <w:pPr>
        <w:rPr>
          <w:rFonts w:cs="Times New Roman"/>
        </w:rPr>
      </w:pPr>
      <w:r w:rsidRPr="007463D4">
        <w:t>1 Earth and Environmental Systems Institute, Pennsylvania State University, University Park, PA</w:t>
      </w:r>
    </w:p>
    <w:p w14:paraId="007E14E3" w14:textId="77777777" w:rsidR="007463D4" w:rsidRPr="003A6273" w:rsidRDefault="007463D4" w:rsidP="0094758E">
      <w:pPr>
        <w:rPr>
          <w:rFonts w:cs="Times New Roman"/>
        </w:rPr>
      </w:pPr>
      <w:r w:rsidRPr="007463D4">
        <w:t>2 Department of Geosciences, Pennsylvania State University, University Park, PA</w:t>
      </w:r>
    </w:p>
    <w:p w14:paraId="7FF3FCD6" w14:textId="77777777" w:rsidR="00D17A5C" w:rsidRDefault="007463D4" w:rsidP="0094758E">
      <w:r w:rsidRPr="007463D4">
        <w:t xml:space="preserve">Projected Journal: </w:t>
      </w:r>
    </w:p>
    <w:p w14:paraId="4E379CAC" w14:textId="77777777" w:rsidR="00D17A5C" w:rsidRDefault="007463D4" w:rsidP="00EF0424">
      <w:pPr>
        <w:pStyle w:val="ListParagraph"/>
        <w:numPr>
          <w:ilvl w:val="0"/>
          <w:numId w:val="6"/>
        </w:numPr>
      </w:pPr>
      <w:r w:rsidRPr="007463D4">
        <w:t>Journal of hydrology</w:t>
      </w:r>
      <w:r w:rsidR="00D17A5C">
        <w:t xml:space="preserve"> (3.72; 2017)</w:t>
      </w:r>
      <w:r w:rsidRPr="007463D4">
        <w:t xml:space="preserve">, </w:t>
      </w:r>
    </w:p>
    <w:p w14:paraId="46824C53" w14:textId="77777777" w:rsidR="00D17A5C" w:rsidRDefault="007463D4" w:rsidP="00EF0424">
      <w:pPr>
        <w:pStyle w:val="ListParagraph"/>
        <w:numPr>
          <w:ilvl w:val="0"/>
          <w:numId w:val="6"/>
        </w:numPr>
      </w:pPr>
      <w:r w:rsidRPr="007463D4">
        <w:t>sustainability</w:t>
      </w:r>
      <w:r w:rsidR="00D17A5C">
        <w:t xml:space="preserve"> (2.075; 2017)</w:t>
      </w:r>
      <w:r w:rsidRPr="007463D4">
        <w:t xml:space="preserve">, </w:t>
      </w:r>
    </w:p>
    <w:p w14:paraId="0FB6DDD4" w14:textId="77777777" w:rsidR="009F45DA" w:rsidRPr="00DA4813" w:rsidRDefault="009F45DA" w:rsidP="00EF0424">
      <w:pPr>
        <w:pStyle w:val="ListParagraph"/>
        <w:numPr>
          <w:ilvl w:val="0"/>
          <w:numId w:val="6"/>
        </w:numPr>
        <w:rPr>
          <w:strike/>
        </w:rPr>
      </w:pPr>
      <w:r w:rsidRPr="00DA4813">
        <w:rPr>
          <w:strike/>
        </w:rPr>
        <w:t>Risk Analysis (2.89; 2018)</w:t>
      </w:r>
    </w:p>
    <w:p w14:paraId="7568C10A" w14:textId="53CA4128" w:rsidR="00776DDA" w:rsidRDefault="00776DDA" w:rsidP="00EF0424">
      <w:pPr>
        <w:pStyle w:val="ListParagraph"/>
        <w:numPr>
          <w:ilvl w:val="0"/>
          <w:numId w:val="6"/>
        </w:numPr>
      </w:pPr>
      <w:r>
        <w:t>Journal of flood risk management (2.483)</w:t>
      </w:r>
    </w:p>
    <w:p w14:paraId="11328795" w14:textId="1569516D" w:rsidR="00153A50" w:rsidRDefault="00153A50" w:rsidP="00EF0424">
      <w:pPr>
        <w:pStyle w:val="ListParagraph"/>
        <w:numPr>
          <w:ilvl w:val="0"/>
          <w:numId w:val="6"/>
        </w:numPr>
      </w:pPr>
      <w:r>
        <w:t xml:space="preserve">Environmental Research Letter </w:t>
      </w:r>
    </w:p>
    <w:p w14:paraId="4EC29138" w14:textId="3BED5050" w:rsidR="00D17A5C" w:rsidRPr="00DA4813" w:rsidRDefault="00D17A5C" w:rsidP="00EF0424">
      <w:pPr>
        <w:pStyle w:val="ListParagraph"/>
        <w:numPr>
          <w:ilvl w:val="0"/>
          <w:numId w:val="6"/>
        </w:numPr>
        <w:rPr>
          <w:rFonts w:cs="Times New Roman"/>
          <w:b/>
        </w:rPr>
      </w:pPr>
      <w:r w:rsidRPr="00EF0424">
        <w:rPr>
          <w:b/>
        </w:rPr>
        <w:t>Journal of water resources planning and management (3.57; 2016)</w:t>
      </w:r>
    </w:p>
    <w:p w14:paraId="1A2EECC0" w14:textId="5745AD91" w:rsidR="00DA4813" w:rsidRPr="00DA4813" w:rsidRDefault="00DA4813" w:rsidP="00EF0424">
      <w:pPr>
        <w:pStyle w:val="ListParagraph"/>
        <w:numPr>
          <w:ilvl w:val="0"/>
          <w:numId w:val="6"/>
        </w:numPr>
        <w:rPr>
          <w:rFonts w:cs="Times New Roman"/>
          <w:bCs/>
        </w:rPr>
      </w:pPr>
      <w:r w:rsidRPr="00DA4813">
        <w:rPr>
          <w:bCs/>
        </w:rPr>
        <w:t xml:space="preserve">Science of total environment </w:t>
      </w:r>
    </w:p>
    <w:p w14:paraId="194A0376" w14:textId="77777777" w:rsidR="007463D4" w:rsidRDefault="007517EF" w:rsidP="0094758E">
      <w:r>
        <w:t>Highlights:</w:t>
      </w:r>
    </w:p>
    <w:p w14:paraId="477391D8" w14:textId="77777777" w:rsidR="007517EF" w:rsidRDefault="007517EF" w:rsidP="00EF0424">
      <w:pPr>
        <w:pStyle w:val="ListParagraph"/>
        <w:numPr>
          <w:ilvl w:val="0"/>
          <w:numId w:val="4"/>
        </w:numPr>
      </w:pPr>
      <w:r>
        <w:t xml:space="preserve">Uncertainties influence the </w:t>
      </w:r>
      <w:r w:rsidR="00EF0424">
        <w:t>homeowner’s</w:t>
      </w:r>
      <w:r>
        <w:t xml:space="preserve"> decision of raising the house</w:t>
      </w:r>
    </w:p>
    <w:p w14:paraId="37AEEC5A" w14:textId="62FEACD6" w:rsidR="007517EF" w:rsidRDefault="007517EF" w:rsidP="00EF0424">
      <w:pPr>
        <w:pStyle w:val="ListParagraph"/>
        <w:numPr>
          <w:ilvl w:val="0"/>
          <w:numId w:val="4"/>
        </w:numPr>
      </w:pPr>
      <w:r>
        <w:t>FEMA’s recommendation is not always optimal</w:t>
      </w:r>
    </w:p>
    <w:p w14:paraId="5F397451" w14:textId="3203E1B0" w:rsidR="007158F0" w:rsidRDefault="007158F0" w:rsidP="00EF0424">
      <w:pPr>
        <w:pStyle w:val="ListParagraph"/>
        <w:numPr>
          <w:ilvl w:val="0"/>
          <w:numId w:val="4"/>
        </w:numPr>
      </w:pPr>
      <w:r>
        <w:t>In most cases FEMA’s recommendation underestimates the optimal elevation</w:t>
      </w:r>
      <w:r w:rsidR="0062183D">
        <w:t>.</w:t>
      </w:r>
    </w:p>
    <w:p w14:paraId="59F5D9EE" w14:textId="5A901D00" w:rsidR="0062183D" w:rsidRDefault="0062183D" w:rsidP="00EF0424">
      <w:pPr>
        <w:pStyle w:val="ListParagraph"/>
        <w:numPr>
          <w:ilvl w:val="0"/>
          <w:numId w:val="4"/>
        </w:numPr>
      </w:pPr>
      <w:r>
        <w:t xml:space="preserve">In rest of the cases FEMA is recommendation over </w:t>
      </w:r>
      <w:r w:rsidR="00677AC2">
        <w:t>estimates</w:t>
      </w:r>
      <w:r>
        <w:t xml:space="preserve"> because elevating the house is not worth it</w:t>
      </w:r>
    </w:p>
    <w:p w14:paraId="4CAE0D37" w14:textId="5A7034E5" w:rsidR="007517EF" w:rsidRDefault="007517EF" w:rsidP="0094758E">
      <w:pPr>
        <w:pStyle w:val="ListParagraph"/>
        <w:numPr>
          <w:ilvl w:val="0"/>
          <w:numId w:val="4"/>
        </w:numPr>
      </w:pPr>
      <w:r>
        <w:t xml:space="preserve">House </w:t>
      </w:r>
      <w:r w:rsidR="00EF0424">
        <w:t>characteristics</w:t>
      </w:r>
      <w:r>
        <w:t xml:space="preserve"> such as lifespan</w:t>
      </w:r>
      <w:r w:rsidR="00EF0424">
        <w:t>, house size, value and ground elevation are important in the optimal decision</w:t>
      </w:r>
    </w:p>
    <w:p w14:paraId="1DAA2DE7" w14:textId="02323FAB" w:rsidR="0077115A" w:rsidRDefault="0077115A" w:rsidP="0077115A"/>
    <w:p w14:paraId="5CC12D74" w14:textId="79F9AD08" w:rsidR="0077115A" w:rsidRDefault="0077115A" w:rsidP="0077115A"/>
    <w:p w14:paraId="7A700057" w14:textId="35CA144C" w:rsidR="0077115A" w:rsidRDefault="0077115A" w:rsidP="0077115A"/>
    <w:p w14:paraId="247989D8" w14:textId="65A9DBF6" w:rsidR="0077115A" w:rsidRDefault="0077115A" w:rsidP="0077115A"/>
    <w:p w14:paraId="40686AEC" w14:textId="00DAB18F" w:rsidR="0077115A" w:rsidRDefault="0077115A" w:rsidP="0077115A"/>
    <w:p w14:paraId="60DA7BE9" w14:textId="77777777" w:rsidR="0077115A" w:rsidRDefault="0077115A" w:rsidP="0077115A"/>
    <w:p w14:paraId="4C3DCCA0" w14:textId="77777777" w:rsidR="007463D4" w:rsidRPr="0094758E" w:rsidRDefault="007463D4" w:rsidP="008C11B2">
      <w:pPr>
        <w:pStyle w:val="Heading1"/>
        <w:numPr>
          <w:ilvl w:val="0"/>
          <w:numId w:val="0"/>
        </w:numPr>
      </w:pPr>
      <w:r w:rsidRPr="0094758E">
        <w:lastRenderedPageBreak/>
        <w:t>Abstract</w:t>
      </w:r>
    </w:p>
    <w:p w14:paraId="1B90762C" w14:textId="3B8A1820" w:rsidR="00383B95" w:rsidRPr="00383B95" w:rsidRDefault="00641452" w:rsidP="00383B95">
      <w:pPr>
        <w:rPr>
          <w:rFonts w:cs="Times New Roman"/>
          <w:color w:val="auto"/>
          <w:szCs w:val="24"/>
        </w:rPr>
      </w:pPr>
      <w:r>
        <w:t>A common approach for flood risk mitigation is lifting houses located in f</w:t>
      </w:r>
      <w:r w:rsidR="00383B95">
        <w:t>lood-</w:t>
      </w:r>
      <w:r>
        <w:t>prone areas. The only guideline available for these households is Federal Emergency Management Agency (FEMA)’s minimum elevation requirement for National Flood Insurance Program participants. This guideline recommends elevating the house to the Ba</w:t>
      </w:r>
      <w:r w:rsidR="00383B95">
        <w:t>s</w:t>
      </w:r>
      <w:r>
        <w:t xml:space="preserve">e Flood Elevation </w:t>
      </w:r>
      <w:r w:rsidR="00383B95">
        <w:t xml:space="preserve">(100-yr flood) </w:t>
      </w:r>
      <w:r>
        <w:t xml:space="preserve">plus a freeboard. However, this guideline is not </w:t>
      </w:r>
      <w:r w:rsidR="00383B95">
        <w:t>specific,</w:t>
      </w:r>
      <w:r>
        <w:t xml:space="preserve"> and leaves open the question: how high to elevate the building in the face of uncertain flood projections? To </w:t>
      </w:r>
      <w:r w:rsidR="00383B95">
        <w:t>answer</w:t>
      </w:r>
      <w:r>
        <w:t xml:space="preserve"> this </w:t>
      </w:r>
      <w:r w:rsidR="00383B95">
        <w:t>question</w:t>
      </w:r>
      <w:r>
        <w:t xml:space="preserve">, we conduct a cost-benefit analysis </w:t>
      </w:r>
      <w:r w:rsidR="00383B95">
        <w:t xml:space="preserve">(CBA) </w:t>
      </w:r>
      <w:r>
        <w:t>and analyze four main options homeowners have: (1) repairing as floods occur, (2) lifting the house to FEMA’s minimum recommendation, (3) elevating the house to a cost-optimal elevation that minimizes the total cost (current cost of elevating plus net present value of expected damages), and (4) elevating the building to the optimal elevation under uncertainty.</w:t>
      </w:r>
      <w:r w:rsidR="00383B95">
        <w:t xml:space="preserve"> We use a case study of a community in Pennsylvania and demonstrate the role of uncertainty quantification in the home elevation problem. Results show that considering uncertainty generally leads to higher CBA optimal elevation and that </w:t>
      </w:r>
      <w:r w:rsidR="00383B95" w:rsidRPr="00383B95">
        <w:rPr>
          <w:rFonts w:cs="Times New Roman"/>
          <w:szCs w:val="24"/>
        </w:rPr>
        <w:t>FEMA’s recommendation can often be improved on from a cost-benefit perspective</w:t>
      </w:r>
    </w:p>
    <w:p w14:paraId="378AC0A6" w14:textId="53BD1F5D" w:rsidR="00F53F60" w:rsidRDefault="00F53F60" w:rsidP="009548EF"/>
    <w:p w14:paraId="3E69E893" w14:textId="6BFD315E" w:rsidR="009932B4" w:rsidRPr="00413108" w:rsidRDefault="009932B4" w:rsidP="009548EF">
      <w:pPr>
        <w:sectPr w:rsidR="009932B4" w:rsidRPr="00413108" w:rsidSect="00C5227F">
          <w:footerReference w:type="even" r:id="rId11"/>
          <w:footerReference w:type="default" r:id="rId12"/>
          <w:pgSz w:w="12240" w:h="15840"/>
          <w:pgMar w:top="1440" w:right="1440" w:bottom="1440" w:left="1440" w:header="720" w:footer="720" w:gutter="0"/>
          <w:cols w:space="720"/>
          <w:docGrid w:linePitch="360"/>
        </w:sectPr>
      </w:pPr>
      <w:r>
        <w:t xml:space="preserve">Keywords: NFIP; FEMA; Home elevation; </w:t>
      </w:r>
      <w:r w:rsidR="00383B95">
        <w:t xml:space="preserve">flood </w:t>
      </w:r>
      <w:r>
        <w:t>mitigation strategies; GEV</w:t>
      </w:r>
      <w:r w:rsidR="00BB4BAF">
        <w:t xml:space="preserve">; flood hazard uncertainties </w:t>
      </w:r>
    </w:p>
    <w:p w14:paraId="1CCF61E2" w14:textId="77777777" w:rsidR="007463D4" w:rsidRPr="007463D4" w:rsidRDefault="007463D4" w:rsidP="0094758E">
      <w:pPr>
        <w:pStyle w:val="Heading1"/>
        <w:rPr>
          <w:sz w:val="48"/>
          <w:szCs w:val="48"/>
        </w:rPr>
      </w:pPr>
      <w:r w:rsidRPr="007463D4">
        <w:lastRenderedPageBreak/>
        <w:t>Introduction</w:t>
      </w:r>
    </w:p>
    <w:p w14:paraId="085FD185" w14:textId="55E098C4" w:rsidR="00584045" w:rsidRDefault="00343EFA" w:rsidP="0094758E">
      <w:r w:rsidRPr="00343EFA">
        <w:t>As the costliest natural hazard, floods have affected 2,490 million people between 1980 and 2004 over the globe (</w:t>
      </w:r>
      <w:proofErr w:type="spellStart"/>
      <w:r w:rsidRPr="00343EFA">
        <w:t>Strömberg</w:t>
      </w:r>
      <w:proofErr w:type="spellEnd"/>
      <w:r w:rsidRPr="00343EFA">
        <w:t xml:space="preserve">, 2007). From 1900 to 2015, the U.S. had 35,000 disasters out of which 40 percent </w:t>
      </w:r>
      <w:r w:rsidR="00AA4D55">
        <w:t>were</w:t>
      </w:r>
      <w:r w:rsidRPr="00343EFA">
        <w:t xml:space="preserve"> floods (Cigler, 2017).</w:t>
      </w:r>
      <w:r>
        <w:t xml:space="preserve"> </w:t>
      </w:r>
      <w:r w:rsidR="001A19AD">
        <w:t xml:space="preserve">According to the </w:t>
      </w:r>
      <w:r w:rsidR="001A19AD" w:rsidRPr="001A19AD">
        <w:t xml:space="preserve">Federal Insurance </w:t>
      </w:r>
      <w:r w:rsidR="001A19AD">
        <w:t>and</w:t>
      </w:r>
      <w:r w:rsidR="001A19AD" w:rsidRPr="001A19AD">
        <w:t xml:space="preserve"> Mitigation Administration National Flood Insurance Program (FIMA NFIP) Redacted Claims Dataset</w:t>
      </w:r>
      <w:r w:rsidR="00DB1AF9">
        <w:t xml:space="preserve"> released on July 16, 2019, between 1970 and 2019, over </w:t>
      </w:r>
      <w:r w:rsidR="00F57DB7">
        <w:t>68</w:t>
      </w:r>
      <w:r w:rsidR="00DB1AF9">
        <w:t xml:space="preserve"> </w:t>
      </w:r>
      <w:r w:rsidR="00AA4D55">
        <w:t xml:space="preserve">billion </w:t>
      </w:r>
      <w:r w:rsidR="00DB1AF9">
        <w:t>US dollars have been claimed by the NFIP policy holders</w:t>
      </w:r>
      <w:r w:rsidR="00B358D9">
        <w:t xml:space="preserve"> on building damage and contents loss</w:t>
      </w:r>
      <w:r w:rsidR="00DB1AF9">
        <w:t xml:space="preserve">. </w:t>
      </w:r>
      <w:r w:rsidR="00AA4D55">
        <w:t>T</w:t>
      </w:r>
      <w:r w:rsidR="00F57DB7">
        <w:t>he average damage</w:t>
      </w:r>
      <w:r w:rsidR="00316B00">
        <w:t xml:space="preserve"> to </w:t>
      </w:r>
      <w:r w:rsidR="00780677">
        <w:t>households</w:t>
      </w:r>
      <w:r w:rsidR="00316B00">
        <w:t xml:space="preserve"> has been </w:t>
      </w:r>
      <w:r w:rsidR="00F17BAD">
        <w:t xml:space="preserve">over </w:t>
      </w:r>
      <w:r w:rsidR="00316B00">
        <w:t>30,000 US dollars per event (</w:t>
      </w:r>
      <w:r w:rsidR="00F17BAD">
        <w:t xml:space="preserve">over </w:t>
      </w:r>
      <w:r w:rsidR="00316B00">
        <w:t xml:space="preserve">$23,000 in damages to buildings and </w:t>
      </w:r>
      <w:r w:rsidR="00F17BAD">
        <w:t xml:space="preserve">over </w:t>
      </w:r>
      <w:r w:rsidR="00316B00">
        <w:t xml:space="preserve">$7,000 to contents). </w:t>
      </w:r>
    </w:p>
    <w:p w14:paraId="786EB354" w14:textId="513B0DB0" w:rsidR="00D86CEA" w:rsidRDefault="00316B00" w:rsidP="0094758E">
      <w:r>
        <w:t xml:space="preserve">Structural </w:t>
      </w:r>
      <w:r w:rsidR="00780677">
        <w:t xml:space="preserve">(e.g. elevating) </w:t>
      </w:r>
      <w:r>
        <w:t>and non-structural</w:t>
      </w:r>
      <w:r w:rsidR="00584045">
        <w:t xml:space="preserve"> </w:t>
      </w:r>
      <w:r w:rsidR="00780677">
        <w:t xml:space="preserve">(e.g. flood adapted interior fitting) </w:t>
      </w:r>
      <w:r w:rsidR="00584045">
        <w:t xml:space="preserve">mitigation </w:t>
      </w:r>
      <w:r>
        <w:t>plans</w:t>
      </w:r>
      <w:r w:rsidR="00584045">
        <w:t xml:space="preserve"> are </w:t>
      </w:r>
      <w:r w:rsidR="002C320B">
        <w:t>undertaken</w:t>
      </w:r>
      <w:r w:rsidR="00584045">
        <w:t xml:space="preserve"> to decrease the flood risk</w:t>
      </w:r>
      <w:r w:rsidR="009F0693">
        <w:t xml:space="preserve"> </w:t>
      </w:r>
      <w:r w:rsidR="00780677">
        <w:t>(</w:t>
      </w:r>
      <w:proofErr w:type="spellStart"/>
      <w:r w:rsidR="00780677">
        <w:t>Kreibich</w:t>
      </w:r>
      <w:proofErr w:type="spellEnd"/>
      <w:r w:rsidR="00780677">
        <w:t xml:space="preserve"> et al., 2005)</w:t>
      </w:r>
      <w:r w:rsidR="00C136AE">
        <w:t xml:space="preserve"> </w:t>
      </w:r>
      <w:r w:rsidR="00AA4D55">
        <w:t>which</w:t>
      </w:r>
      <w:r w:rsidR="00C136AE">
        <w:t xml:space="preserve"> generally fall into </w:t>
      </w:r>
      <w:r w:rsidR="00AA4D55">
        <w:t xml:space="preserve">three categories of </w:t>
      </w:r>
      <w:r w:rsidR="00C136AE">
        <w:t xml:space="preserve">wet-floodproofing, dry-floodproofing, and structure </w:t>
      </w:r>
      <w:r w:rsidR="004B7C90">
        <w:t>modification (e.g. relocating or elevating)</w:t>
      </w:r>
      <w:r w:rsidR="00C136AE">
        <w:t xml:space="preserve"> (de </w:t>
      </w:r>
      <w:proofErr w:type="spellStart"/>
      <w:r w:rsidR="00C136AE">
        <w:t>Ruig</w:t>
      </w:r>
      <w:proofErr w:type="spellEnd"/>
      <w:r w:rsidR="00C136AE">
        <w:t xml:space="preserve"> et al., 2019). Dry proofing prevents water from entering the building </w:t>
      </w:r>
      <w:r w:rsidR="00AA4D55">
        <w:t>b</w:t>
      </w:r>
      <w:r w:rsidR="00C136AE">
        <w:t>y sealing it</w:t>
      </w:r>
      <w:r w:rsidR="00AA4D55">
        <w:t xml:space="preserve"> through</w:t>
      </w:r>
      <w:r w:rsidR="00C136AE">
        <w:t xml:space="preserve"> closing the openings such as windows and doors</w:t>
      </w:r>
      <w:r w:rsidR="002C65A4">
        <w:t xml:space="preserve"> or filling the basement</w:t>
      </w:r>
      <w:r w:rsidR="00AA4D55">
        <w:t>. W</w:t>
      </w:r>
      <w:r w:rsidR="00C136AE">
        <w:t>et proofing</w:t>
      </w:r>
      <w:r>
        <w:t xml:space="preserve">, on the other hand, </w:t>
      </w:r>
      <w:r w:rsidR="008372ED">
        <w:t>allows water to flow inside the building and aims at reducing the damages by decreasing the vulnerability of the structure by</w:t>
      </w:r>
      <w:r w:rsidR="004B7C90">
        <w:t>,</w:t>
      </w:r>
      <w:r w:rsidR="008372ED">
        <w:t xml:space="preserve"> for example</w:t>
      </w:r>
      <w:r w:rsidR="004B7C90">
        <w:t>,</w:t>
      </w:r>
      <w:r w:rsidR="008372ED">
        <w:t xml:space="preserve"> moving valuable contents to higher </w:t>
      </w:r>
      <w:r w:rsidR="002C320B">
        <w:t>floors</w:t>
      </w:r>
      <w:r w:rsidR="008372ED">
        <w:t xml:space="preserve"> (</w:t>
      </w:r>
      <w:r w:rsidR="00071DC2">
        <w:t xml:space="preserve">de </w:t>
      </w:r>
      <w:proofErr w:type="spellStart"/>
      <w:r w:rsidR="00071DC2">
        <w:t>Ruig</w:t>
      </w:r>
      <w:proofErr w:type="spellEnd"/>
      <w:r w:rsidR="00071DC2">
        <w:t xml:space="preserve"> et al., 2019; </w:t>
      </w:r>
      <w:proofErr w:type="spellStart"/>
      <w:r w:rsidR="008372ED">
        <w:t>Moel</w:t>
      </w:r>
      <w:proofErr w:type="spellEnd"/>
      <w:r w:rsidR="008372ED">
        <w:t xml:space="preserve"> et al., 2014). </w:t>
      </w:r>
      <w:r w:rsidR="002C65A4">
        <w:t xml:space="preserve">The effectiveness of these strategies is contingent upon the intensity of the </w:t>
      </w:r>
      <w:r w:rsidR="004B7C90">
        <w:t>flood</w:t>
      </w:r>
      <w:r w:rsidR="00D86CEA">
        <w:t>. G</w:t>
      </w:r>
      <w:r w:rsidR="00320B07">
        <w:t>enerally</w:t>
      </w:r>
      <w:r w:rsidR="00D86CEA">
        <w:t>,</w:t>
      </w:r>
      <w:r w:rsidR="00320B07">
        <w:t xml:space="preserve"> dry</w:t>
      </w:r>
      <w:r w:rsidR="00D86CEA">
        <w:t>-</w:t>
      </w:r>
      <w:r w:rsidR="00AA0398">
        <w:t xml:space="preserve"> and wet</w:t>
      </w:r>
      <w:r w:rsidR="00D86CEA">
        <w:t>-</w:t>
      </w:r>
      <w:r w:rsidR="00AA0398">
        <w:t xml:space="preserve"> proofing are more effective for low inundation depths (</w:t>
      </w:r>
      <w:proofErr w:type="spellStart"/>
      <w:r w:rsidR="00AA0398">
        <w:t>Moel</w:t>
      </w:r>
      <w:proofErr w:type="spellEnd"/>
      <w:r w:rsidR="00AA0398">
        <w:t xml:space="preserve"> et al. 2014)</w:t>
      </w:r>
      <w:r w:rsidR="00D86CEA">
        <w:t xml:space="preserve"> and structure lifting is more effective for extreme floods. </w:t>
      </w:r>
    </w:p>
    <w:p w14:paraId="0A2F7AAB" w14:textId="3E4564C2" w:rsidR="00C97726" w:rsidRDefault="009932B4" w:rsidP="00C97726">
      <w:r>
        <w:t xml:space="preserve">According to FEMA, over 84% of NFIP households do not meet elevation requirements (such as not having a basement or having the lowest floor above the ground) and yet only 20% of the policy holders have managed to obtain FEMA’s elevation certificate. </w:t>
      </w:r>
      <w:r w:rsidR="00320B07">
        <w:t>The low interest in structure elevation is motivated by the fact that l</w:t>
      </w:r>
      <w:r w:rsidR="00CC5570">
        <w:t xml:space="preserve">ifting a </w:t>
      </w:r>
      <w:r w:rsidR="00421495">
        <w:t>building</w:t>
      </w:r>
      <w:r w:rsidR="00CC5570">
        <w:t xml:space="preserve"> is </w:t>
      </w:r>
      <w:r w:rsidR="00421495">
        <w:t>very</w:t>
      </w:r>
      <w:r w:rsidR="00CC5570">
        <w:t xml:space="preserve"> expensive </w:t>
      </w:r>
      <w:r w:rsidR="00320B07">
        <w:t>and the cost could go as high as the building value. Large expenses of repairing flood damages and elevating a house make it difficult for the homeowners to decide whether to elevate the building or not.</w:t>
      </w:r>
      <w:r w:rsidR="00DF57C7">
        <w:t xml:space="preserve"> The only g</w:t>
      </w:r>
      <w:r w:rsidR="00244D80">
        <w:t>uideline</w:t>
      </w:r>
      <w:r w:rsidR="00DF57C7">
        <w:t xml:space="preserve"> </w:t>
      </w:r>
      <w:r w:rsidR="00244D80">
        <w:t>provided for structure lifting</w:t>
      </w:r>
      <w:r w:rsidR="00DF57C7">
        <w:t xml:space="preserve"> is by </w:t>
      </w:r>
      <w:r w:rsidR="00244D80">
        <w:t>FEMA recommend</w:t>
      </w:r>
      <w:r w:rsidR="00DF57C7">
        <w:t>ing</w:t>
      </w:r>
      <w:r w:rsidR="00244D80">
        <w:t xml:space="preserve"> elevating houses in 100-yr flood zones to the BFE (the flood level with an annual exceedance chance of 1%) plus a freeboard; however, this recommendation is not specific and leaves open the question of whether and how high to elevate a building. </w:t>
      </w:r>
      <w:r w:rsidR="00C97726">
        <w:t xml:space="preserve">FEMA’s minimum recommendation is merely based on the flood zone in which </w:t>
      </w:r>
      <w:r w:rsidR="00C97726">
        <w:lastRenderedPageBreak/>
        <w:t xml:space="preserve">the building is located. Xian et al. (2017) argue that this guideline is not sufficient as it ignores specific building vulnerabilities indicated by building’s lifespan or size, for example. Similarly, de </w:t>
      </w:r>
      <w:proofErr w:type="spellStart"/>
      <w:r w:rsidR="00C97726">
        <w:t>Ruig</w:t>
      </w:r>
      <w:proofErr w:type="spellEnd"/>
      <w:r w:rsidR="00C97726">
        <w:t xml:space="preserve"> et al. (2019) argue that implementing a unique adaptation measure to all buildings of a community might not provide enough protection for buildings that are located in areas with higher expected inundation. Both studies implement CBA to find an optimal elevation to raise a building (Xiang et al., 2017) and to identify a cost optimal mitigation strategy (de </w:t>
      </w:r>
      <w:proofErr w:type="spellStart"/>
      <w:r w:rsidR="00C97726">
        <w:t>Ruig</w:t>
      </w:r>
      <w:proofErr w:type="spellEnd"/>
      <w:r w:rsidR="00C97726">
        <w:t xml:space="preserve"> et al., 2019). </w:t>
      </w:r>
    </w:p>
    <w:p w14:paraId="1AF8A7AD" w14:textId="7749BE5C" w:rsidR="007A7DD3" w:rsidRDefault="007D5570" w:rsidP="0094758E">
      <w:r>
        <w:t xml:space="preserve">However, </w:t>
      </w:r>
      <w:r w:rsidR="007766F0">
        <w:t>CBA</w:t>
      </w:r>
      <w:r w:rsidR="00C434A7">
        <w:t xml:space="preserve"> relies on </w:t>
      </w:r>
      <w:r w:rsidR="00244991">
        <w:t xml:space="preserve">the </w:t>
      </w:r>
      <w:r w:rsidR="00C434A7">
        <w:t>estimation of cost</w:t>
      </w:r>
      <w:r w:rsidR="00C366DD">
        <w:t xml:space="preserve"> (i.e. cost of elevating the structure)</w:t>
      </w:r>
      <w:r w:rsidR="00C434A7">
        <w:t xml:space="preserve"> and benefits</w:t>
      </w:r>
      <w:r w:rsidR="00C366DD">
        <w:t xml:space="preserve"> (money saved in flood damages)</w:t>
      </w:r>
      <w:r w:rsidR="00244991">
        <w:t xml:space="preserve"> which are </w:t>
      </w:r>
      <w:r w:rsidR="008E6EE9">
        <w:t xml:space="preserve">subject to a great deal of </w:t>
      </w:r>
      <w:r w:rsidR="00C366DD">
        <w:t>uncertain</w:t>
      </w:r>
      <w:r w:rsidR="008E6EE9">
        <w:t>ty (</w:t>
      </w:r>
      <w:proofErr w:type="spellStart"/>
      <w:r w:rsidR="008E6EE9">
        <w:t>Apel</w:t>
      </w:r>
      <w:proofErr w:type="spellEnd"/>
      <w:r w:rsidR="008E6EE9">
        <w:t xml:space="preserve"> et al., 2004; Merz et al., 2004; </w:t>
      </w:r>
      <w:r w:rsidR="007A7DD3">
        <w:t xml:space="preserve">Merz et al., 2010; </w:t>
      </w:r>
      <w:proofErr w:type="spellStart"/>
      <w:r w:rsidR="008E6EE9">
        <w:t>Moel</w:t>
      </w:r>
      <w:proofErr w:type="spellEnd"/>
      <w:r w:rsidR="008E6EE9">
        <w:t xml:space="preserve"> et al., 2010)</w:t>
      </w:r>
      <w:r w:rsidR="00E65632">
        <w:t xml:space="preserve"> and is ignored in the previous literature</w:t>
      </w:r>
      <w:r w:rsidR="008E6EE9">
        <w:t>.</w:t>
      </w:r>
      <w:r w:rsidR="00532B8F">
        <w:t xml:space="preserve"> </w:t>
      </w:r>
      <w:r w:rsidR="00F208F5">
        <w:t>Prominent sources of uncertainty in the house elevation problem include dollar magnitude to represent future costs and benefit, the discount rate to convert future values of benefit and costs to present value (Graham 1981</w:t>
      </w:r>
      <w:r w:rsidR="007D3EF7">
        <w:t xml:space="preserve">; </w:t>
      </w:r>
      <w:r w:rsidR="007D3EF7" w:rsidRPr="007D3EF7">
        <w:rPr>
          <w:rFonts w:cs="Times New Roman"/>
          <w:color w:val="auto"/>
          <w:szCs w:val="24"/>
        </w:rPr>
        <w:t>Newell</w:t>
      </w:r>
      <w:r w:rsidR="007D3EF7">
        <w:rPr>
          <w:rFonts w:cs="Times New Roman"/>
          <w:color w:val="auto"/>
          <w:szCs w:val="24"/>
        </w:rPr>
        <w:t xml:space="preserve"> and</w:t>
      </w:r>
      <w:r w:rsidR="007D3EF7" w:rsidRPr="007D3EF7">
        <w:rPr>
          <w:rFonts w:cs="Times New Roman"/>
          <w:color w:val="auto"/>
          <w:szCs w:val="24"/>
        </w:rPr>
        <w:t xml:space="preserve"> Pizer</w:t>
      </w:r>
      <w:r w:rsidR="007D3EF7">
        <w:rPr>
          <w:rFonts w:cs="Times New Roman"/>
          <w:color w:val="auto"/>
          <w:szCs w:val="24"/>
        </w:rPr>
        <w:t>, 2003</w:t>
      </w:r>
      <w:r w:rsidR="00F208F5">
        <w:t xml:space="preserve">), </w:t>
      </w:r>
      <w:r w:rsidR="00184C89">
        <w:t xml:space="preserve">future flooding probability, </w:t>
      </w:r>
      <w:r w:rsidR="00590147">
        <w:t xml:space="preserve">and the depth-damage relationship. </w:t>
      </w:r>
      <w:proofErr w:type="spellStart"/>
      <w:r w:rsidR="006332A0">
        <w:t>Moel</w:t>
      </w:r>
      <w:proofErr w:type="spellEnd"/>
      <w:r w:rsidR="006332A0">
        <w:t xml:space="preserve"> et al. (2014) conduct a sensitivity analysis of expected annual damages (EAD) and conclude that the uncertainty in EAD can mainly be attributed to flooding probability, flooding duration, and depth-damage curves.</w:t>
      </w:r>
      <w:r w:rsidR="007A7DD3">
        <w:t xml:space="preserve"> Identifying and quantifying these key uncertainties result in more informed decision making (</w:t>
      </w:r>
      <w:proofErr w:type="spellStart"/>
      <w:r w:rsidR="007A7DD3">
        <w:t>Hadka</w:t>
      </w:r>
      <w:proofErr w:type="spellEnd"/>
      <w:r w:rsidR="007A7DD3">
        <w:t xml:space="preserve"> et al., 2015; </w:t>
      </w:r>
      <w:proofErr w:type="spellStart"/>
      <w:r w:rsidR="00EB02E7">
        <w:t>Oddo</w:t>
      </w:r>
      <w:proofErr w:type="spellEnd"/>
      <w:r w:rsidR="00EB02E7">
        <w:t xml:space="preserve"> et al., 2017</w:t>
      </w:r>
      <w:r w:rsidR="007A7DD3">
        <w:t xml:space="preserve">). </w:t>
      </w:r>
    </w:p>
    <w:p w14:paraId="34280398" w14:textId="71804F09" w:rsidR="00EC39F8" w:rsidRDefault="00EC39F8" w:rsidP="00EC39F8">
      <w:r w:rsidRPr="00EC39F8">
        <w:t>This raises the question: what is an economically optimal house elevation decision in the face of uncertain flood projections?</w:t>
      </w:r>
      <w:r>
        <w:t xml:space="preserve"> To answer this question, we analyze four options a homeowner in a flood-prone area has: (1) implementing no precautionary measures and repair flood damages as they occur, (2) elevating the house to FEMA’s minimum recommended height, (3) elevating the house to the cost-optimal elevation neglecting the flood hazard uncertainty, and (4) elevating the structure to the optimal elevation under uncertainty. </w:t>
      </w:r>
    </w:p>
    <w:p w14:paraId="7C4C4523" w14:textId="30C815F6" w:rsidR="00C97726" w:rsidRDefault="006E2FB8" w:rsidP="00E66449">
      <w:r>
        <w:t xml:space="preserve">Therefore, </w:t>
      </w:r>
      <w:r w:rsidR="00B554D5">
        <w:t xml:space="preserve">we aim to assess the effects of flood hazard uncertainty quantification on </w:t>
      </w:r>
      <w:r>
        <w:t>the home elevation</w:t>
      </w:r>
      <w:r w:rsidR="00B554D5">
        <w:t xml:space="preserve"> decision. We start the paper with exploring the levers, objectives, and uncertainty sources in the decision of elevating a house</w:t>
      </w:r>
      <w:r w:rsidR="00F75514">
        <w:t xml:space="preserve">. After </w:t>
      </w:r>
      <w:r>
        <w:t>explaining</w:t>
      </w:r>
      <w:r w:rsidR="00F75514">
        <w:t xml:space="preserve"> our method of calculating the objectives under uncertainty, we illustrate our method with a case study o</w:t>
      </w:r>
      <w:r>
        <w:t xml:space="preserve">f a community in </w:t>
      </w:r>
      <w:r w:rsidR="00F75514">
        <w:t xml:space="preserve">Pennsylvania which is vulnerable to flooding from Susquehanna river. </w:t>
      </w:r>
      <w:r w:rsidR="00700B2F">
        <w:t xml:space="preserve"> </w:t>
      </w:r>
    </w:p>
    <w:p w14:paraId="06FF555D" w14:textId="0C7A7FD8" w:rsidR="00A970CD" w:rsidRDefault="00A970CD" w:rsidP="00E66449"/>
    <w:p w14:paraId="528737A4" w14:textId="77777777" w:rsidR="00A970CD" w:rsidRDefault="00A970CD" w:rsidP="00E66449"/>
    <w:p w14:paraId="54A9002D" w14:textId="77777777" w:rsidR="007867F2" w:rsidRDefault="007463D4" w:rsidP="008C11B2">
      <w:pPr>
        <w:pStyle w:val="Heading1"/>
      </w:pPr>
      <w:r w:rsidRPr="007463D4">
        <w:lastRenderedPageBreak/>
        <w:t>Methods</w:t>
      </w:r>
    </w:p>
    <w:p w14:paraId="7278B09C" w14:textId="50D16265" w:rsidR="008C1319" w:rsidRDefault="00340D00" w:rsidP="008C1319">
      <w:r>
        <w:t>Estimation</w:t>
      </w:r>
      <w:r w:rsidR="00C27537">
        <w:t>s</w:t>
      </w:r>
      <w:r>
        <w:t xml:space="preserve"> of c</w:t>
      </w:r>
      <w:r w:rsidR="008C1319">
        <w:t>ost</w:t>
      </w:r>
      <w:r>
        <w:t xml:space="preserve">, </w:t>
      </w:r>
      <w:r w:rsidR="008C1319">
        <w:t>benefit</w:t>
      </w:r>
      <w:r>
        <w:t>, and optimal elevation</w:t>
      </w:r>
      <w:r w:rsidR="008C1319">
        <w:t xml:space="preserve"> </w:t>
      </w:r>
      <w:r w:rsidR="00C27537">
        <w:t>are</w:t>
      </w:r>
      <w:r w:rsidR="008C1319">
        <w:t xml:space="preserve"> explained in this section. We start with mapping the objectives, levers, and uncertainties in the decision of elevating a house and then we will address calculation of total cost including upfront cost and expected damages. </w:t>
      </w:r>
    </w:p>
    <w:p w14:paraId="1B1C50F4" w14:textId="30077FBB" w:rsidR="00A4308B" w:rsidRDefault="008C1319" w:rsidP="00A970CD">
      <w:pPr>
        <w:pStyle w:val="Heading2"/>
      </w:pPr>
      <w:r>
        <w:t xml:space="preserve">Decision </w:t>
      </w:r>
      <w:r w:rsidR="00225A88">
        <w:t>framework</w:t>
      </w:r>
    </w:p>
    <w:p w14:paraId="285A52EB" w14:textId="75A53AC2" w:rsidR="00FA7420" w:rsidRDefault="000C67B1" w:rsidP="00FA7420">
      <w:r>
        <w:t xml:space="preserve">Figure 1 shows the XLRM diagram of the home elevation problem. XLRM demonstrates the logical relationships between external factors (X), Levers (L), Relationships (R), and Metrics (M) (Ceres et al., 2019). </w:t>
      </w:r>
      <w:r w:rsidR="00FA7420">
        <w:t>The levers in th</w:t>
      </w:r>
      <w:r>
        <w:t>is</w:t>
      </w:r>
      <w:r w:rsidR="00FA7420">
        <w:t xml:space="preserve"> decision include “elevating a house or not?” and if yes, “how high to elevate the house?”.</w:t>
      </w:r>
      <w:r w:rsidR="00225A88">
        <w:t xml:space="preserve"> </w:t>
      </w:r>
      <w:r w:rsidR="007E56D2">
        <w:t>External factors or uncertainties included in this study is the flooding frequency uncertainty; however, more uncertainty factors such as the damage function are possible to consider (</w:t>
      </w:r>
      <w:proofErr w:type="spellStart"/>
      <w:r w:rsidR="007E56D2">
        <w:t>Moel</w:t>
      </w:r>
      <w:proofErr w:type="spellEnd"/>
      <w:r w:rsidR="007E56D2">
        <w:t xml:space="preserve"> et al., 2014). The stakeholder community involved in </w:t>
      </w:r>
      <w:r w:rsidR="002D3FF8">
        <w:t xml:space="preserve">the home </w:t>
      </w:r>
      <w:r w:rsidR="0053593A">
        <w:t>elevation problem</w:t>
      </w:r>
      <w:r w:rsidR="007E56D2">
        <w:t xml:space="preserve"> include homeowner </w:t>
      </w:r>
      <w:r w:rsidR="002D3FF8">
        <w:t xml:space="preserve">communities </w:t>
      </w:r>
      <w:r w:rsidR="007E56D2">
        <w:t>with</w:t>
      </w:r>
      <w:r w:rsidR="002D3FF8">
        <w:t xml:space="preserve"> a diverse range of </w:t>
      </w:r>
      <w:r w:rsidR="00EB21E3">
        <w:t xml:space="preserve">(usually conflicting) </w:t>
      </w:r>
      <w:r w:rsidR="002D3FF8">
        <w:t xml:space="preserve">values ranging from preserving the house safety to investing as little as possible. </w:t>
      </w:r>
      <w:r w:rsidR="00225A88">
        <w:t xml:space="preserve">For example, one homeowner might put more value about the safety of the house regardless of money should be spent on elevating it. Or another homeowner might </w:t>
      </w:r>
      <w:r w:rsidR="00753F44">
        <w:t xml:space="preserve">not be able to afford the upfront cost of elevating the house and is limited by the construction cost. </w:t>
      </w:r>
      <w:r w:rsidR="00EB21E3">
        <w:t>Therefore, we consider the home elevation problem to be a multi-objective (</w:t>
      </w:r>
      <w:proofErr w:type="spellStart"/>
      <w:r w:rsidR="00EB21E3">
        <w:t>Kwakkel</w:t>
      </w:r>
      <w:proofErr w:type="spellEnd"/>
      <w:r w:rsidR="00EB21E3">
        <w:t xml:space="preserve">, 2017; </w:t>
      </w:r>
      <w:proofErr w:type="spellStart"/>
      <w:r w:rsidR="00EB21E3" w:rsidRPr="002D3FF8">
        <w:rPr>
          <w:rFonts w:cs="Times New Roman"/>
          <w:color w:val="auto"/>
          <w:szCs w:val="24"/>
        </w:rPr>
        <w:t>Kasprzyk</w:t>
      </w:r>
      <w:proofErr w:type="spellEnd"/>
      <w:r w:rsidR="00EB21E3">
        <w:rPr>
          <w:rFonts w:cs="Times New Roman"/>
          <w:color w:val="auto"/>
          <w:szCs w:val="24"/>
        </w:rPr>
        <w:t xml:space="preserve"> et al., 2013; </w:t>
      </w:r>
      <w:proofErr w:type="spellStart"/>
      <w:r w:rsidR="00EB21E3">
        <w:t>Hadka</w:t>
      </w:r>
      <w:proofErr w:type="spellEnd"/>
      <w:r w:rsidR="00EB21E3">
        <w:t xml:space="preserve"> et al., 2015) problem. </w:t>
      </w:r>
      <w:r w:rsidR="00753F44">
        <w:t xml:space="preserve">Objectives </w:t>
      </w:r>
      <w:r w:rsidR="00EB21E3">
        <w:t xml:space="preserve">(boxes on the right in figure 1) </w:t>
      </w:r>
      <w:r w:rsidR="00753F44">
        <w:t xml:space="preserve">include (1) total cost, (2) benefit-to-cost ratio, (3) the upfront cost with respect to the building current value, and (4) the safety of the building </w:t>
      </w:r>
      <w:r w:rsidR="00EB21E3">
        <w:t>in</w:t>
      </w:r>
      <w:r w:rsidR="00753F44">
        <w:t xml:space="preserve"> extreme floods. </w:t>
      </w:r>
      <w:r w:rsidR="00225A88">
        <w:t xml:space="preserve"> </w:t>
      </w:r>
    </w:p>
    <w:p w14:paraId="2C2BD6A4" w14:textId="77777777" w:rsidR="008C1319" w:rsidRDefault="008C1319" w:rsidP="008C1319">
      <w:pPr>
        <w:jc w:val="center"/>
      </w:pPr>
      <w:r>
        <w:rPr>
          <w:noProof/>
        </w:rPr>
        <w:drawing>
          <wp:inline distT="0" distB="0" distL="0" distR="0" wp14:anchorId="2D8184BD" wp14:editId="5CCE0539">
            <wp:extent cx="35941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lrm.pdf"/>
                    <pic:cNvPicPr/>
                  </pic:nvPicPr>
                  <pic:blipFill>
                    <a:blip r:embed="rId13">
                      <a:extLst>
                        <a:ext uri="{28A0092B-C50C-407E-A947-70E740481C1C}">
                          <a14:useLocalDpi xmlns:a14="http://schemas.microsoft.com/office/drawing/2010/main" val="0"/>
                        </a:ext>
                      </a:extLst>
                    </a:blip>
                    <a:stretch>
                      <a:fillRect/>
                    </a:stretch>
                  </pic:blipFill>
                  <pic:spPr>
                    <a:xfrm>
                      <a:off x="0" y="0"/>
                      <a:ext cx="3594100" cy="2209800"/>
                    </a:xfrm>
                    <a:prstGeom prst="rect">
                      <a:avLst/>
                    </a:prstGeom>
                  </pic:spPr>
                </pic:pic>
              </a:graphicData>
            </a:graphic>
          </wp:inline>
        </w:drawing>
      </w:r>
    </w:p>
    <w:p w14:paraId="28D6202E" w14:textId="55DE91D0" w:rsidR="008C1319" w:rsidRPr="00616F36" w:rsidRDefault="008C1319" w:rsidP="00616F36">
      <w:pPr>
        <w:pStyle w:val="NoSpacing"/>
      </w:pPr>
      <w:r w:rsidRPr="00616F36">
        <w:lastRenderedPageBreak/>
        <w:t xml:space="preserve">Figure 1: The XLRM </w:t>
      </w:r>
      <w:r w:rsidR="00225A88">
        <w:t>framework</w:t>
      </w:r>
      <w:r w:rsidRPr="00616F36">
        <w:t xml:space="preserve"> </w:t>
      </w:r>
      <w:r w:rsidR="00A970CD">
        <w:t>of the home elevation problem</w:t>
      </w:r>
      <w:r w:rsidRPr="00616F36">
        <w:t xml:space="preserve">. The lever in such a decision is whether </w:t>
      </w:r>
      <w:r w:rsidR="00753F44">
        <w:t>to elevate</w:t>
      </w:r>
      <w:r w:rsidRPr="00616F36">
        <w:t xml:space="preserve"> a house or not and if yes, how high to elevate</w:t>
      </w:r>
      <w:r w:rsidR="00A970CD">
        <w:t xml:space="preserve"> it</w:t>
      </w:r>
      <w:r w:rsidRPr="00616F36">
        <w:t xml:space="preserve">? Uncertainties that affect this decision include the flooding frequency and objectives are minimizing total cost and upfront cost and maximizing safety and benefit-to-cost ratio. </w:t>
      </w:r>
    </w:p>
    <w:p w14:paraId="399D4CF1" w14:textId="77777777" w:rsidR="00B636A8" w:rsidRDefault="00D60EC1" w:rsidP="00D60EC1">
      <w:pPr>
        <w:pStyle w:val="Heading2"/>
      </w:pPr>
      <w:r>
        <w:t>Flooding frequency</w:t>
      </w:r>
    </w:p>
    <w:p w14:paraId="629D9749" w14:textId="067DFC05" w:rsidR="00E13F6D" w:rsidRDefault="007E2EE4" w:rsidP="00E13F6D">
      <w:r>
        <w:t xml:space="preserve">We use the Generalized Extreme Value </w:t>
      </w:r>
      <w:r w:rsidR="00D9652E">
        <w:t xml:space="preserve">(GEV) </w:t>
      </w:r>
      <w:r w:rsidRPr="00D9652E">
        <w:rPr>
          <w:color w:val="000000" w:themeColor="text1"/>
        </w:rPr>
        <w:t>distribution</w:t>
      </w:r>
      <w:r w:rsidR="00ED33DA">
        <w:rPr>
          <w:color w:val="000000" w:themeColor="text1"/>
        </w:rPr>
        <w:t xml:space="preserve"> which is commonly used for modeling the extremes </w:t>
      </w:r>
      <w:r w:rsidR="00ED33DA" w:rsidRPr="00D9652E">
        <w:rPr>
          <w:color w:val="000000" w:themeColor="text1"/>
        </w:rPr>
        <w:t>(</w:t>
      </w:r>
      <w:r w:rsidR="00493442" w:rsidRPr="00D9652E">
        <w:rPr>
          <w:color w:val="000000" w:themeColor="text1"/>
        </w:rPr>
        <w:t>Coles, 2001</w:t>
      </w:r>
      <w:r w:rsidR="00D9652E">
        <w:rPr>
          <w:color w:val="000000" w:themeColor="text1"/>
        </w:rPr>
        <w:t>; Lee et al., 2017</w:t>
      </w:r>
      <w:r w:rsidR="00ED33DA">
        <w:rPr>
          <w:color w:val="000000" w:themeColor="text1"/>
        </w:rPr>
        <w:t>; Hogan et al., 2019</w:t>
      </w:r>
      <w:r w:rsidR="00493442" w:rsidRPr="00D9652E">
        <w:rPr>
          <w:color w:val="000000" w:themeColor="text1"/>
        </w:rPr>
        <w:t xml:space="preserve">) </w:t>
      </w:r>
      <w:r w:rsidRPr="00D9652E">
        <w:rPr>
          <w:color w:val="000000" w:themeColor="text1"/>
        </w:rPr>
        <w:t>to e</w:t>
      </w:r>
      <w:r>
        <w:t xml:space="preserve">stimate the </w:t>
      </w:r>
      <w:r w:rsidR="00D9652E">
        <w:t xml:space="preserve">flooding </w:t>
      </w:r>
      <w:r>
        <w:t>frequency</w:t>
      </w:r>
      <w:r w:rsidR="00D9652E">
        <w:t xml:space="preserve">. </w:t>
      </w:r>
      <w:r w:rsidR="00A970CD">
        <w:t>Non-exceedance p</w:t>
      </w:r>
      <w:r w:rsidR="00D9652E">
        <w:t xml:space="preserve">robability </w:t>
      </w:r>
      <w:r w:rsidR="00A970CD">
        <w:t>of</w:t>
      </w:r>
      <w:r w:rsidR="00D9652E">
        <w:t xml:space="preserve"> a certain </w:t>
      </w:r>
      <w:r w:rsidR="00A970CD">
        <w:t xml:space="preserve">water </w:t>
      </w:r>
      <w:r w:rsidR="00D9652E">
        <w:t>level is obtained by the GEV C</w:t>
      </w:r>
      <w:r w:rsidR="007663C9">
        <w:t>umulative</w:t>
      </w:r>
      <w:r>
        <w:t xml:space="preserve"> </w:t>
      </w:r>
      <w:r w:rsidR="00D9652E">
        <w:t>D</w:t>
      </w:r>
      <w:r w:rsidR="007663C9">
        <w:t>istribution</w:t>
      </w:r>
      <w:r>
        <w:t xml:space="preserve"> </w:t>
      </w:r>
      <w:r w:rsidR="00D9652E">
        <w:t>F</w:t>
      </w:r>
      <w:r>
        <w:t>unction (</w:t>
      </w:r>
      <w:r w:rsidR="007663C9">
        <w:t>CDF</w:t>
      </w:r>
      <w:r>
        <w:t xml:space="preserve">) </w:t>
      </w:r>
      <w:r w:rsidR="00D9652E">
        <w:t>as</w:t>
      </w:r>
      <w:r>
        <w:t xml:space="preserve"> </w:t>
      </w:r>
    </w:p>
    <w:tbl>
      <w:tblPr>
        <w:tblStyle w:val="TableGrid"/>
        <w:tblW w:w="0" w:type="auto"/>
        <w:tblLook w:val="04A0" w:firstRow="1" w:lastRow="0" w:firstColumn="1" w:lastColumn="0" w:noHBand="0" w:noVBand="1"/>
      </w:tblPr>
      <w:tblGrid>
        <w:gridCol w:w="8854"/>
        <w:gridCol w:w="496"/>
      </w:tblGrid>
      <w:tr w:rsidR="007663C9" w14:paraId="35538719" w14:textId="77777777" w:rsidTr="00581F33">
        <w:tc>
          <w:tcPr>
            <w:tcW w:w="8995" w:type="dxa"/>
            <w:vAlign w:val="center"/>
          </w:tcPr>
          <w:p w14:paraId="52C1AE46" w14:textId="3E36A921" w:rsidR="007663C9" w:rsidRDefault="00ED33DA" w:rsidP="00581F33">
            <w:pPr>
              <w:jc w:val="center"/>
            </w:pPr>
            <m:oMathPara>
              <m:oMath>
                <m:r>
                  <m:rPr>
                    <m:sty m:val="p"/>
                  </m:rPr>
                  <w:rPr>
                    <w:rFonts w:ascii="Cambria Math" w:hAnsi="Cambria Math"/>
                  </w:rPr>
                  <m:t>Pr⁡</m:t>
                </m:r>
                <m:r>
                  <w:rPr>
                    <w:rFonts w:ascii="Cambria Math" w:hAnsi="Cambria Math"/>
                  </w:rPr>
                  <m:t>(H≤h)=</m:t>
                </m:r>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[1+ξ (</m:t>
                    </m:r>
                    <m:f>
                      <m:fPr>
                        <m:ctrlPr>
                          <w:rPr>
                            <w:rFonts w:ascii="Cambria Math" w:hAnsi="Cambria Math"/>
                            <w:i/>
                          </w:rPr>
                        </m:ctrlPr>
                      </m:fPr>
                      <m:num>
                        <m:r>
                          <w:rPr>
                            <w:rFonts w:ascii="Cambria Math" w:hAnsi="Cambria Math"/>
                          </w:rPr>
                          <m:t>h-μ</m:t>
                        </m:r>
                      </m:num>
                      <m:den>
                        <m:r>
                          <w:rPr>
                            <w:rFonts w:ascii="Cambria Math" w:hAnsi="Cambria Math"/>
                          </w:rPr>
                          <m:t>σ</m:t>
                        </m:r>
                      </m:den>
                    </m:f>
                    <m:r>
                      <w:rPr>
                        <w:rFonts w:ascii="Cambria Math" w:hAnsi="Cambria Math"/>
                      </w:rPr>
                      <m:t>)]</m:t>
                    </m:r>
                  </m:e>
                  <m:sup>
                    <m:f>
                      <m:fPr>
                        <m:type m:val="skw"/>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oMath>
            </m:oMathPara>
          </w:p>
        </w:tc>
        <w:tc>
          <w:tcPr>
            <w:tcW w:w="355" w:type="dxa"/>
            <w:vAlign w:val="center"/>
          </w:tcPr>
          <w:p w14:paraId="6B479CB4" w14:textId="77777777" w:rsidR="007663C9" w:rsidRDefault="00581F33" w:rsidP="00581F33">
            <w:pPr>
              <w:jc w:val="center"/>
            </w:pPr>
            <w:r>
              <w:t>(1)</w:t>
            </w:r>
          </w:p>
        </w:tc>
      </w:tr>
    </w:tbl>
    <w:p w14:paraId="60729E86" w14:textId="55BF6C57" w:rsidR="007663C9" w:rsidRDefault="00581F33" w:rsidP="00E13F6D">
      <w:r>
        <w:t>where</w:t>
      </w:r>
      <w:r w:rsidR="003A6273">
        <w:t xml:space="preserve"> </w:t>
      </w:r>
      <w:proofErr w:type="spellStart"/>
      <w:r w:rsidR="00BF3E19">
        <w:t>h is</w:t>
      </w:r>
      <w:proofErr w:type="spellEnd"/>
      <w:r w:rsidR="003A6273">
        <w:t xml:space="preserve"> </w:t>
      </w:r>
      <w:r w:rsidR="001E468E">
        <w:t>annual maximum flood</w:t>
      </w:r>
      <w:r w:rsidR="006A66D3">
        <w:t xml:space="preserve"> level</w:t>
      </w:r>
      <w:r w:rsidR="003A6273">
        <w:t xml:space="preserve"> and</w:t>
      </w:r>
      <w:r>
        <w:t xml:space="preserve"> </w:t>
      </w:r>
      <w:r>
        <w:sym w:font="Symbol" w:char="F06D"/>
      </w:r>
      <w:r>
        <w:t xml:space="preserve">, </w:t>
      </w:r>
      <w:r>
        <w:sym w:font="Symbol" w:char="F073"/>
      </w:r>
      <w:r>
        <w:t xml:space="preserve">, and </w:t>
      </w:r>
      <w:r>
        <w:sym w:font="Symbol" w:char="F078"/>
      </w:r>
      <w:r>
        <w:t xml:space="preserve"> are location, scale, and shape parameters, respectively</w:t>
      </w:r>
      <w:r w:rsidR="00493442">
        <w:t xml:space="preserve">. For a specific return period (T), the </w:t>
      </w:r>
      <w:r w:rsidR="00685AD0">
        <w:t>return</w:t>
      </w:r>
      <w:r w:rsidR="00493442">
        <w:t xml:space="preserve"> level is </w:t>
      </w:r>
      <w:r w:rsidR="00ED33DA">
        <w:t>estimated</w:t>
      </w:r>
      <w:r w:rsidR="00493442">
        <w:t xml:space="preserve"> by </w:t>
      </w:r>
    </w:p>
    <w:tbl>
      <w:tblPr>
        <w:tblStyle w:val="TableGrid"/>
        <w:tblW w:w="0" w:type="auto"/>
        <w:tblLook w:val="04A0" w:firstRow="1" w:lastRow="0" w:firstColumn="1" w:lastColumn="0" w:noHBand="0" w:noVBand="1"/>
      </w:tblPr>
      <w:tblGrid>
        <w:gridCol w:w="8854"/>
        <w:gridCol w:w="496"/>
      </w:tblGrid>
      <w:tr w:rsidR="00493442" w14:paraId="0688409D" w14:textId="77777777" w:rsidTr="00C84646">
        <w:tc>
          <w:tcPr>
            <w:tcW w:w="8995" w:type="dxa"/>
            <w:vAlign w:val="center"/>
          </w:tcPr>
          <w:p w14:paraId="28386FB8" w14:textId="77777777" w:rsidR="00493442" w:rsidRDefault="00AA6AA4" w:rsidP="00C84646">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=μ+</m:t>
                </m:r>
                <m:f>
                  <m:fPr>
                    <m:ctrlPr>
                      <w:rPr>
                        <w:rFonts w:ascii="Cambria Math" w:hAnsi="Cambria Math"/>
                        <w:i/>
                      </w:rPr>
                    </m:ctrlPr>
                  </m:fPr>
                  <m:num>
                    <m:r>
                      <w:rPr>
                        <w:rFonts w:ascii="Cambria Math" w:hAnsi="Cambria Math"/>
                      </w:rPr>
                      <m:t>σ</m:t>
                    </m:r>
                  </m:num>
                  <m:den>
                    <m:r>
                      <w:rPr>
                        <w:rFonts w:ascii="Cambria Math" w:hAnsi="Cambria Math"/>
                      </w:rPr>
                      <m:t>ξ</m:t>
                    </m:r>
                  </m:den>
                </m:f>
                <m:r>
                  <w:rPr>
                    <w:rFonts w:ascii="Cambria Math" w:hAnsi="Cambria Math"/>
                  </w:rPr>
                  <m:t xml:space="preserve"> (</m:t>
                </m:r>
                <m:sSup>
                  <m:sSupPr>
                    <m:ctrlPr>
                      <w:rPr>
                        <w:rFonts w:ascii="Cambria Math" w:hAnsi="Cambria Math"/>
                        <w:i/>
                      </w:rPr>
                    </m:ctrlPr>
                  </m:sSupPr>
                  <m:e>
                    <m:r>
                      <w:rPr>
                        <w:rFonts w:ascii="Cambria Math" w:hAnsi="Cambria Math"/>
                      </w:rPr>
                      <m:t>-</m:t>
                    </m:r>
                    <m:r>
                      <m:rPr>
                        <m:sty m:val="p"/>
                      </m:rPr>
                      <w:rPr>
                        <w:rFonts w:ascii="Cambria Math" w:hAnsi="Cambria Math"/>
                      </w:rPr>
                      <m:t>ln⁡</m:t>
                    </m:r>
                    <m:r>
                      <w:rPr>
                        <w:rFonts w:ascii="Cambria Math" w:hAnsi="Cambria Math"/>
                      </w:rPr>
                      <m:t>(1-m)</m:t>
                    </m:r>
                  </m:e>
                  <m:sup>
                    <m:r>
                      <w:rPr>
                        <w:rFonts w:ascii="Cambria Math" w:hAnsi="Cambria Math"/>
                      </w:rPr>
                      <m:t>-ξ</m:t>
                    </m:r>
                  </m:sup>
                </m:sSup>
                <m:r>
                  <w:rPr>
                    <w:rFonts w:ascii="Cambria Math" w:hAnsi="Cambria Math"/>
                  </w:rPr>
                  <m:t>-1)</m:t>
                </m:r>
              </m:oMath>
            </m:oMathPara>
          </w:p>
        </w:tc>
        <w:tc>
          <w:tcPr>
            <w:tcW w:w="355" w:type="dxa"/>
            <w:vAlign w:val="center"/>
          </w:tcPr>
          <w:p w14:paraId="1822B50C" w14:textId="77777777" w:rsidR="00493442" w:rsidRDefault="00493442" w:rsidP="00C84646">
            <w:pPr>
              <w:jc w:val="center"/>
            </w:pPr>
            <w:r>
              <w:t>(2)</w:t>
            </w:r>
          </w:p>
        </w:tc>
      </w:tr>
    </w:tbl>
    <w:p w14:paraId="342383CE" w14:textId="77777777" w:rsidR="00493442" w:rsidRDefault="00F4702E" w:rsidP="00E13F6D">
      <w:r>
        <w:t>where m is the non-</w:t>
      </w:r>
      <w:r w:rsidR="00685AD0">
        <w:t>exceedance</w:t>
      </w:r>
      <w:r>
        <w:t xml:space="preserve"> probability or </w:t>
      </w:r>
    </w:p>
    <w:tbl>
      <w:tblPr>
        <w:tblStyle w:val="TableGrid"/>
        <w:tblW w:w="0" w:type="auto"/>
        <w:tblLook w:val="04A0" w:firstRow="1" w:lastRow="0" w:firstColumn="1" w:lastColumn="0" w:noHBand="0" w:noVBand="1"/>
      </w:tblPr>
      <w:tblGrid>
        <w:gridCol w:w="8854"/>
        <w:gridCol w:w="496"/>
      </w:tblGrid>
      <w:tr w:rsidR="00F4702E" w14:paraId="4984D14D" w14:textId="77777777" w:rsidTr="00C84646">
        <w:tc>
          <w:tcPr>
            <w:tcW w:w="8995" w:type="dxa"/>
            <w:vAlign w:val="center"/>
          </w:tcPr>
          <w:p w14:paraId="51843539" w14:textId="77777777" w:rsidR="00F4702E" w:rsidRDefault="00F4702E" w:rsidP="00C84646">
            <w:pPr>
              <w:jc w:val="center"/>
            </w:pPr>
            <m:oMathPara>
              <m:oMath>
                <m:r>
                  <w:rPr>
                    <w:rFonts w:ascii="Cambria Math" w:hAnsi="Cambria Math"/>
                  </w:rPr>
                  <m:t>m=1-(</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oMath>
            </m:oMathPara>
          </w:p>
        </w:tc>
        <w:tc>
          <w:tcPr>
            <w:tcW w:w="355" w:type="dxa"/>
            <w:vAlign w:val="center"/>
          </w:tcPr>
          <w:p w14:paraId="57FABF2C" w14:textId="77777777" w:rsidR="00F4702E" w:rsidRDefault="00F4702E" w:rsidP="00C84646">
            <w:pPr>
              <w:jc w:val="center"/>
            </w:pPr>
            <w:r>
              <w:t>(3)</w:t>
            </w:r>
          </w:p>
        </w:tc>
      </w:tr>
    </w:tbl>
    <w:p w14:paraId="075E5A68" w14:textId="5735B8A4" w:rsidR="007E2EE4" w:rsidRDefault="00CF2D81" w:rsidP="00E13F6D">
      <w:r>
        <w:t xml:space="preserve">We use </w:t>
      </w:r>
      <w:r w:rsidR="00C47683">
        <w:t>Markov Chain Monte Carlo (</w:t>
      </w:r>
      <w:r>
        <w:t>MCMC</w:t>
      </w:r>
      <w:r w:rsidR="00C47683">
        <w:t>)</w:t>
      </w:r>
      <w:r>
        <w:t xml:space="preserve"> for parameter estimation. For scenario</w:t>
      </w:r>
      <w:r w:rsidR="00C47683">
        <w:t>s</w:t>
      </w:r>
      <w:r>
        <w:t xml:space="preserve"> where uncertainty is ignored, we </w:t>
      </w:r>
      <w:r w:rsidR="00C6657A">
        <w:t xml:space="preserve">adopt </w:t>
      </w:r>
      <w:r w:rsidR="00C47683">
        <w:t>parameters</w:t>
      </w:r>
      <w:r w:rsidR="00C6657A">
        <w:t xml:space="preserve"> with the highest likelihood</w:t>
      </w:r>
      <w:r>
        <w:t xml:space="preserve"> (the </w:t>
      </w:r>
      <w:r w:rsidR="00C6657A">
        <w:t>mode</w:t>
      </w:r>
      <w:r>
        <w:t xml:space="preserve">) and for the scenario where parameter uncertainty is considered, we use the </w:t>
      </w:r>
      <w:r w:rsidR="00C47683">
        <w:t>entire ensemble of parameters</w:t>
      </w:r>
      <w:r>
        <w:t>.</w:t>
      </w:r>
      <w:r w:rsidR="00744578">
        <w:t xml:space="preserve"> </w:t>
      </w:r>
      <w:r>
        <w:t xml:space="preserve">  </w:t>
      </w:r>
      <w:r w:rsidR="00E46970">
        <w:t xml:space="preserve"> </w:t>
      </w:r>
    </w:p>
    <w:p w14:paraId="49BEFCAE" w14:textId="77777777" w:rsidR="006629E4" w:rsidRDefault="006629E4" w:rsidP="006629E4">
      <w:pPr>
        <w:pStyle w:val="Heading2"/>
      </w:pPr>
      <w:r>
        <w:t>Safety</w:t>
      </w:r>
    </w:p>
    <w:p w14:paraId="3EF08231" w14:textId="1C02449B" w:rsidR="006629E4" w:rsidRDefault="006629E4" w:rsidP="006629E4">
      <w:r>
        <w:t>We define safety as the probability of no floods during the house lifetime.</w:t>
      </w:r>
      <w:r w:rsidR="00906066">
        <w:t xml:space="preserve"> For a building that is </w:t>
      </w:r>
      <w:r w:rsidR="00424B56">
        <w:t xml:space="preserve">elevated by </w:t>
      </w:r>
      <w:r w:rsidR="00906066">
        <w:t>h feet, safety is defined by</w:t>
      </w:r>
    </w:p>
    <w:tbl>
      <w:tblPr>
        <w:tblStyle w:val="TableGrid"/>
        <w:tblW w:w="0" w:type="auto"/>
        <w:tblLook w:val="04A0" w:firstRow="1" w:lastRow="0" w:firstColumn="1" w:lastColumn="0" w:noHBand="0" w:noVBand="1"/>
      </w:tblPr>
      <w:tblGrid>
        <w:gridCol w:w="8854"/>
        <w:gridCol w:w="496"/>
      </w:tblGrid>
      <w:tr w:rsidR="006629E4" w14:paraId="6386F997" w14:textId="77777777" w:rsidTr="006B4FEF">
        <w:tc>
          <w:tcPr>
            <w:tcW w:w="8995" w:type="dxa"/>
            <w:vAlign w:val="center"/>
          </w:tcPr>
          <w:p w14:paraId="2BBF699E" w14:textId="46DEE2FC" w:rsidR="006629E4" w:rsidRDefault="00AA6AA4" w:rsidP="006B4FEF">
            <w:pPr>
              <w:jc w:val="center"/>
            </w:pPr>
            <m:oMath>
              <m:sSub>
                <m:sSubPr>
                  <m:ctrlPr>
                    <w:rPr>
                      <w:rFonts w:ascii="Cambria Math" w:hAnsi="Cambria Math"/>
                      <w:i/>
                    </w:rPr>
                  </m:ctrlPr>
                </m:sSubPr>
                <m:e>
                  <m:r>
                    <w:rPr>
                      <w:rFonts w:ascii="Cambria Math" w:hAnsi="Cambria Math"/>
                    </w:rPr>
                    <m:t>O</m:t>
                  </m:r>
                </m:e>
                <m:sub>
                  <m:r>
                    <w:rPr>
                      <w:rFonts w:ascii="Cambria Math" w:hAnsi="Cambria Math"/>
                    </w:rPr>
                    <m:t>4</m:t>
                  </m:r>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X≤h</m:t>
                          </m:r>
                        </m:e>
                      </m:d>
                    </m:e>
                  </m:func>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CDF</m:t>
                          </m:r>
                        </m:e>
                        <m:sub>
                          <m:r>
                            <w:rPr>
                              <w:rFonts w:ascii="Cambria Math" w:hAnsi="Cambria Math"/>
                            </w:rPr>
                            <m:t>h</m:t>
                          </m:r>
                        </m:sub>
                      </m:sSub>
                      <m:r>
                        <w:rPr>
                          <w:rFonts w:ascii="Cambria Math" w:hAnsi="Cambria Math"/>
                        </w:rPr>
                        <m:t>)</m:t>
                      </m:r>
                    </m:e>
                    <m:sup>
                      <m:r>
                        <w:rPr>
                          <w:rFonts w:ascii="Cambria Math" w:hAnsi="Cambria Math"/>
                        </w:rPr>
                        <m:t>n</m:t>
                      </m:r>
                    </m:sup>
                  </m:sSup>
                </m:e>
              </m:nary>
            </m:oMath>
            <w:r w:rsidR="006629E4">
              <w:t xml:space="preserve"> </w:t>
            </w:r>
          </w:p>
        </w:tc>
        <w:tc>
          <w:tcPr>
            <w:tcW w:w="355" w:type="dxa"/>
            <w:vAlign w:val="center"/>
          </w:tcPr>
          <w:p w14:paraId="6943A7BD" w14:textId="4F9BF38E" w:rsidR="006629E4" w:rsidRDefault="006629E4" w:rsidP="006B4FEF">
            <w:pPr>
              <w:jc w:val="center"/>
            </w:pPr>
            <w:r>
              <w:t>(</w:t>
            </w:r>
            <w:r w:rsidR="009854C3">
              <w:t>4</w:t>
            </w:r>
            <w:r>
              <w:t>)</w:t>
            </w:r>
          </w:p>
        </w:tc>
      </w:tr>
    </w:tbl>
    <w:p w14:paraId="4C220054" w14:textId="2233D61F" w:rsidR="006629E4" w:rsidRDefault="006629E4" w:rsidP="006629E4">
      <w:r>
        <w:t>where n is the house lifespan.</w:t>
      </w:r>
    </w:p>
    <w:p w14:paraId="4F7374A0" w14:textId="77777777" w:rsidR="006629E4" w:rsidRDefault="006629E4" w:rsidP="006629E4">
      <w:pPr>
        <w:pStyle w:val="Heading2"/>
      </w:pPr>
      <w:r>
        <w:t>Upfront cost to house value</w:t>
      </w:r>
    </w:p>
    <w:p w14:paraId="1B4DFD5D" w14:textId="00D79D92" w:rsidR="006629E4" w:rsidRDefault="006629E4" w:rsidP="006629E4">
      <w:r>
        <w:lastRenderedPageBreak/>
        <w:t xml:space="preserve">One of the objectives in our decision framework is the ratio of upfront </w:t>
      </w:r>
      <w:r w:rsidR="00755671">
        <w:t xml:space="preserve">cost </w:t>
      </w:r>
      <w:r w:rsidR="00906066">
        <w:t xml:space="preserve">(cost of elevating the house) </w:t>
      </w:r>
      <w:r>
        <w:t>to house value</w:t>
      </w:r>
      <w:r w:rsidR="00421ADB">
        <w:t xml:space="preserve"> (</w:t>
      </w:r>
      <m:oMath>
        <m:sSub>
          <m:sSubPr>
            <m:ctrlPr>
              <w:rPr>
                <w:rFonts w:ascii="Cambria Math" w:hAnsi="Cambria Math"/>
                <w:i/>
              </w:rPr>
            </m:ctrlPr>
          </m:sSubPr>
          <m:e>
            <m:r>
              <w:rPr>
                <w:rFonts w:ascii="Cambria Math" w:hAnsi="Cambria Math"/>
              </w:rPr>
              <m:t>O</m:t>
            </m:r>
          </m:e>
          <m:sub>
            <m:r>
              <w:rPr>
                <w:rFonts w:ascii="Cambria Math" w:hAnsi="Cambria Math"/>
              </w:rPr>
              <m:t>3</m:t>
            </m:r>
            <m:r>
              <w:rPr>
                <w:rFonts w:ascii="Cambria Math" w:hAnsi="Cambria Math"/>
              </w:rPr>
              <m:t>h</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h</m:t>
                </m:r>
              </m:sub>
            </m:sSub>
          </m:num>
          <m:den>
            <m:r>
              <w:rPr>
                <w:rFonts w:ascii="Cambria Math" w:hAnsi="Cambria Math"/>
              </w:rPr>
              <m:t>V</m:t>
            </m:r>
          </m:den>
        </m:f>
      </m:oMath>
      <w:r w:rsidR="00755671">
        <w:t>)</w:t>
      </w:r>
      <w:r w:rsidR="00E13774">
        <w:t xml:space="preserve"> </w:t>
      </w:r>
      <w:r w:rsidR="00B1001E">
        <w:t>where V is the current value of the house (before elevating)</w:t>
      </w:r>
      <w:r w:rsidR="00421ADB">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h</m:t>
            </m:r>
          </m:sub>
        </m:sSub>
      </m:oMath>
      <w:r w:rsidR="00421ADB">
        <w:t xml:space="preserve"> is the cost of elevating the building </w:t>
      </w:r>
      <w:r w:rsidR="00755671">
        <w:t>by</w:t>
      </w:r>
      <w:r w:rsidR="00421ADB">
        <w:t xml:space="preserve"> h feet, and </w:t>
      </w:r>
      <m:oMath>
        <m:sSub>
          <m:sSubPr>
            <m:ctrlPr>
              <w:rPr>
                <w:rFonts w:ascii="Cambria Math" w:hAnsi="Cambria Math"/>
                <w:i/>
              </w:rPr>
            </m:ctrlPr>
          </m:sSubPr>
          <m:e>
            <m:r>
              <w:rPr>
                <w:rFonts w:ascii="Cambria Math" w:hAnsi="Cambria Math"/>
              </w:rPr>
              <m:t>O</m:t>
            </m:r>
          </m:e>
          <m:sub>
            <m:r>
              <w:rPr>
                <w:rFonts w:ascii="Cambria Math" w:hAnsi="Cambria Math"/>
              </w:rPr>
              <m:t>h</m:t>
            </m:r>
          </m:sub>
        </m:sSub>
      </m:oMath>
      <w:r w:rsidR="00421ADB">
        <w:t xml:space="preserve"> is the upfront cost to house value ratio </w:t>
      </w:r>
      <w:r w:rsidR="00755671">
        <w:t xml:space="preserve">if the house is to be elevated by h feet. </w:t>
      </w:r>
      <w:r>
        <w:t xml:space="preserve">The cost of elevating </w:t>
      </w:r>
      <w:r w:rsidR="00755671">
        <w:t>a single-family home i</w:t>
      </w:r>
      <w:r>
        <w:t>s interpolated from the Coastal Louisiana Risk Assessment (CLARA) model</w:t>
      </w:r>
      <w:r w:rsidR="00755671">
        <w:t xml:space="preserve"> </w:t>
      </w:r>
      <w:r>
        <w:t xml:space="preserve">(McMann et al., 2017). According to this model, the unit cost of elevating a house to 3-7, 7-10, and 10-14 feet is $82.5, $86.25, and $103.75 per square feet with a $20,745 initial fee that includes items such as administration, survey, and permits. Figure 2 depicts the interpolated construction costs for three </w:t>
      </w:r>
      <w:r w:rsidR="003F7A03">
        <w:t>hypothetical</w:t>
      </w:r>
      <w:r>
        <w:t xml:space="preserve"> 1,000</w:t>
      </w:r>
      <w:r w:rsidR="003F7A03">
        <w:t>-</w:t>
      </w:r>
      <w:r>
        <w:t>, 2,000</w:t>
      </w:r>
      <w:r w:rsidR="003F7A03">
        <w:t>-</w:t>
      </w:r>
      <w:r>
        <w:t>, and 3,000</w:t>
      </w:r>
      <w:r w:rsidR="003F7A03">
        <w:t>-</w:t>
      </w:r>
      <w:r>
        <w:t xml:space="preserve">square feet houses. </w:t>
      </w:r>
    </w:p>
    <w:p w14:paraId="19FD8718" w14:textId="606B1D3A" w:rsidR="006629E4" w:rsidRDefault="006629E4" w:rsidP="00267E2A">
      <w:pPr>
        <w:jc w:val="center"/>
      </w:pPr>
      <w:r w:rsidRPr="00DB22A6">
        <w:rPr>
          <w:noProof/>
        </w:rPr>
        <w:drawing>
          <wp:inline distT="0" distB="0" distL="0" distR="0" wp14:anchorId="66AB4F3F" wp14:editId="550C012C">
            <wp:extent cx="3985260" cy="2859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304" cy="2870303"/>
                    </a:xfrm>
                    <a:prstGeom prst="rect">
                      <a:avLst/>
                    </a:prstGeom>
                  </pic:spPr>
                </pic:pic>
              </a:graphicData>
            </a:graphic>
          </wp:inline>
        </w:drawing>
      </w:r>
    </w:p>
    <w:p w14:paraId="2E3460F0" w14:textId="20CF585A" w:rsidR="006629E4" w:rsidRDefault="006629E4" w:rsidP="00541830">
      <w:pPr>
        <w:pStyle w:val="NoSpacing"/>
      </w:pPr>
      <w:r>
        <w:t xml:space="preserve">Figure 2: </w:t>
      </w:r>
      <w:r w:rsidRPr="00DB22A6">
        <w:t xml:space="preserve">Construction cost for three sample houses with </w:t>
      </w:r>
      <w:r>
        <w:t>sizes</w:t>
      </w:r>
      <w:r w:rsidRPr="00DB22A6">
        <w:t xml:space="preserve"> of 1,000, 2,000, and 3,000 </w:t>
      </w:r>
      <w:r w:rsidR="00630BE9">
        <w:t>ft</w:t>
      </w:r>
      <w:r w:rsidR="00630BE9" w:rsidRPr="00630BE9">
        <w:rPr>
          <w:vertAlign w:val="superscript"/>
        </w:rPr>
        <w:t>2</w:t>
      </w:r>
      <w:r w:rsidRPr="00DB22A6">
        <w:t xml:space="preserve">. The gray area indicates elevation of less than three feet which </w:t>
      </w:r>
      <w:r>
        <w:t>we assume to be im</w:t>
      </w:r>
      <w:r w:rsidRPr="00DB22A6">
        <w:t>practical. These cost estimates are adopted from the CLARA model</w:t>
      </w:r>
      <w:r>
        <w:t xml:space="preserve"> (McMann et al., 2017).</w:t>
      </w:r>
      <w:r w:rsidR="00DC3E99">
        <w:t xml:space="preserve"> Units are in 2017 US$ </w:t>
      </w:r>
      <w:r w:rsidR="00726AEE">
        <w:t>values</w:t>
      </w:r>
      <w:r w:rsidR="00DC3E99">
        <w:t xml:space="preserve">. </w:t>
      </w:r>
    </w:p>
    <w:p w14:paraId="2A779A06" w14:textId="643DB979" w:rsidR="006629E4" w:rsidRPr="00D67041" w:rsidRDefault="006629E4" w:rsidP="006629E4">
      <w:pPr>
        <w:pStyle w:val="Heading2"/>
      </w:pPr>
      <w:r w:rsidRPr="00D67041">
        <w:t>Total cost</w:t>
      </w:r>
    </w:p>
    <w:p w14:paraId="495CB2EB" w14:textId="7045EDE5" w:rsidR="006629E4" w:rsidRDefault="00662249" w:rsidP="006629E4">
      <w:r>
        <w:t xml:space="preserve">The optimal elevation minimizes the total cost </w:t>
      </w:r>
      <w:r w:rsidR="00B1001E">
        <w:t>(</w:t>
      </w:r>
      <w:r w:rsidR="006D104F">
        <w:t>O</w:t>
      </w:r>
      <w:r w:rsidR="006D104F">
        <w:rPr>
          <w:vertAlign w:val="subscript"/>
        </w:rPr>
        <w:t>1h</w:t>
      </w:r>
      <w:r w:rsidR="00B1001E">
        <w:t xml:space="preserve">) </w:t>
      </w:r>
      <w:r>
        <w:t xml:space="preserve">defined as the </w:t>
      </w:r>
      <w:r w:rsidR="00E13774">
        <w:t xml:space="preserve">upfront cost of </w:t>
      </w:r>
      <w:r>
        <w:t xml:space="preserve">lifting </w:t>
      </w:r>
      <w:r w:rsidR="00E13774">
        <w:t xml:space="preserve">plus the </w:t>
      </w:r>
      <w:r w:rsidR="00732344">
        <w:t xml:space="preserve">net </w:t>
      </w:r>
      <w:r w:rsidR="00AB2D78">
        <w:t xml:space="preserve">present value </w:t>
      </w:r>
      <w:r w:rsidR="007F7DD3">
        <w:t xml:space="preserve">of lifetime expected damages </w:t>
      </w:r>
      <w:r w:rsidR="00AB2D78">
        <w:t>(</w:t>
      </w:r>
      <w:r w:rsidR="007F7DD3">
        <w:t>LED</w:t>
      </w:r>
      <w:r w:rsidR="00AB2D78">
        <w:t xml:space="preserve">) of </w:t>
      </w:r>
      <w:r w:rsidR="00732344">
        <w:t xml:space="preserve">cumulative </w:t>
      </w:r>
      <w:r w:rsidR="00E13774">
        <w:t>expected damages</w:t>
      </w:r>
      <w:r w:rsidR="00B1001E">
        <w:t xml:space="preserve"> over the house lif</w:t>
      </w:r>
      <w:r w:rsidR="00AB2D78">
        <w:t xml:space="preserve">etime </w:t>
      </w:r>
      <w:r w:rsidR="00B1001E">
        <w:t>(</w:t>
      </w:r>
      <m:oMath>
        <m:sSub>
          <m:sSubPr>
            <m:ctrlPr>
              <w:rPr>
                <w:rFonts w:ascii="Cambria Math" w:hAnsi="Cambria Math"/>
                <w:i/>
              </w:rPr>
            </m:ctrlPr>
          </m:sSubPr>
          <m:e>
            <m:r>
              <w:rPr>
                <w:rFonts w:ascii="Cambria Math" w:hAnsi="Cambria Math"/>
              </w:rPr>
              <m:t>O</m:t>
            </m:r>
          </m:e>
          <m:sub>
            <m:r>
              <w:rPr>
                <w:rFonts w:ascii="Cambria Math" w:hAnsi="Cambria Math"/>
              </w:rPr>
              <m:t>1</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LED</m:t>
            </m:r>
          </m:e>
          <m:sub>
            <m:r>
              <w:rPr>
                <w:rFonts w:ascii="Cambria Math" w:hAnsi="Cambria Math"/>
              </w:rPr>
              <m:t>h,n</m:t>
            </m:r>
          </m:sub>
        </m:sSub>
      </m:oMath>
      <w:r w:rsidR="00755BE7">
        <w:t xml:space="preserve">; </w:t>
      </w:r>
      <w:r w:rsidR="00AB2D78">
        <w:t>where n is house lifespan</w:t>
      </w:r>
      <w:r w:rsidR="00755BE7">
        <w:t>)</w:t>
      </w:r>
      <w:r w:rsidR="00E13774">
        <w:t xml:space="preserve">. </w:t>
      </w:r>
      <w:r w:rsidR="00AB2D78">
        <w:t>NP</w:t>
      </w:r>
      <w:r w:rsidR="009D7A58">
        <w:t>V</w:t>
      </w:r>
      <w:r w:rsidR="00515EBC">
        <w:t xml:space="preserve"> </w:t>
      </w:r>
      <w:r w:rsidR="006629E4">
        <w:t xml:space="preserve">is a function of EAD and is calculated by </w:t>
      </w:r>
    </w:p>
    <w:tbl>
      <w:tblPr>
        <w:tblStyle w:val="TableGrid"/>
        <w:tblW w:w="0" w:type="auto"/>
        <w:tblLook w:val="04A0" w:firstRow="1" w:lastRow="0" w:firstColumn="1" w:lastColumn="0" w:noHBand="0" w:noVBand="1"/>
      </w:tblPr>
      <w:tblGrid>
        <w:gridCol w:w="8854"/>
        <w:gridCol w:w="496"/>
      </w:tblGrid>
      <w:tr w:rsidR="006629E4" w14:paraId="4DC36021" w14:textId="77777777" w:rsidTr="006B4FEF">
        <w:tc>
          <w:tcPr>
            <w:tcW w:w="8995" w:type="dxa"/>
            <w:vAlign w:val="center"/>
          </w:tcPr>
          <w:p w14:paraId="0448B9F1" w14:textId="5DBB9470" w:rsidR="006629E4" w:rsidRDefault="00AA6AA4" w:rsidP="006B4FEF">
            <w:pPr>
              <w:jc w:val="center"/>
            </w:pPr>
            <m:oMathPara>
              <m:oMath>
                <m:sSub>
                  <m:sSubPr>
                    <m:ctrlPr>
                      <w:rPr>
                        <w:rFonts w:ascii="Cambria Math" w:hAnsi="Cambria Math"/>
                        <w:i/>
                      </w:rPr>
                    </m:ctrlPr>
                  </m:sSubPr>
                  <m:e>
                    <m:r>
                      <w:rPr>
                        <w:rFonts w:ascii="Cambria Math" w:hAnsi="Cambria Math"/>
                      </w:rPr>
                      <m:t>LED</m:t>
                    </m:r>
                  </m:e>
                  <m:sub>
                    <m:r>
                      <w:rPr>
                        <w:rFonts w:ascii="Cambria Math" w:hAnsi="Cambria Math"/>
                      </w:rPr>
                      <m:t>h,n</m:t>
                    </m:r>
                  </m:sub>
                </m:sSub>
                <m:r>
                  <w:rPr>
                    <w:rFonts w:ascii="Cambria Math" w:hAnsi="Cambria Math"/>
                  </w:rPr>
                  <m:t>(μ,σ,ξ)=</m:t>
                </m:r>
                <m:sSub>
                  <m:sSubPr>
                    <m:ctrlPr>
                      <w:rPr>
                        <w:rFonts w:ascii="Cambria Math" w:hAnsi="Cambria Math"/>
                        <w:i/>
                      </w:rPr>
                    </m:ctrlPr>
                  </m:sSubPr>
                  <m:e>
                    <m:r>
                      <w:rPr>
                        <w:rFonts w:ascii="Cambria Math" w:hAnsi="Cambria Math"/>
                      </w:rPr>
                      <m:t>EAD</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(1+r)</m:t>
                            </m:r>
                          </m:e>
                          <m:sup>
                            <m:r>
                              <w:rPr>
                                <w:rFonts w:ascii="Cambria Math" w:hAnsi="Cambria Math"/>
                              </w:rPr>
                              <m:t>i-1</m:t>
                            </m:r>
                          </m:sup>
                        </m:sSup>
                      </m:den>
                    </m:f>
                    <w:commentRangeStart w:id="4"/>
                    <w:commentRangeEnd w:id="4"/>
                    <m:r>
                      <m:rPr>
                        <m:sty m:val="p"/>
                      </m:rPr>
                      <w:rPr>
                        <w:rStyle w:val="CommentReference"/>
                      </w:rPr>
                      <w:commentReference w:id="4"/>
                    </m:r>
                  </m:e>
                </m:nary>
              </m:oMath>
            </m:oMathPara>
          </w:p>
        </w:tc>
        <w:tc>
          <w:tcPr>
            <w:tcW w:w="355" w:type="dxa"/>
            <w:vAlign w:val="center"/>
          </w:tcPr>
          <w:p w14:paraId="7511FA7C" w14:textId="79C5FDCF" w:rsidR="006629E4" w:rsidRDefault="006629E4" w:rsidP="006B4FEF">
            <w:pPr>
              <w:jc w:val="center"/>
            </w:pPr>
            <w:r>
              <w:t>(</w:t>
            </w:r>
            <w:r w:rsidR="009854C3">
              <w:t>5</w:t>
            </w:r>
            <w:r>
              <w:t>)</w:t>
            </w:r>
          </w:p>
        </w:tc>
      </w:tr>
    </w:tbl>
    <w:p w14:paraId="69F24C5B" w14:textId="325A302F" w:rsidR="006A1A09" w:rsidRDefault="006629E4" w:rsidP="00C84646">
      <w:r>
        <w:t>where r is the discount rate which is assumed to be 4% in this study</w:t>
      </w:r>
      <w:r w:rsidR="00630914">
        <w:t xml:space="preserve"> (de </w:t>
      </w:r>
      <w:proofErr w:type="spellStart"/>
      <w:r w:rsidR="00630914">
        <w:t>Ruig</w:t>
      </w:r>
      <w:proofErr w:type="spellEnd"/>
      <w:r w:rsidR="00630914">
        <w:t xml:space="preserve"> et al., 2019</w:t>
      </w:r>
      <w:r w:rsidR="001F4B7F">
        <w:t xml:space="preserve">; </w:t>
      </w:r>
      <w:r w:rsidR="001F4B7F" w:rsidRPr="007D3EF7">
        <w:rPr>
          <w:rFonts w:cs="Times New Roman"/>
          <w:color w:val="auto"/>
          <w:szCs w:val="24"/>
        </w:rPr>
        <w:t>Newell</w:t>
      </w:r>
      <w:r w:rsidR="001F4B7F">
        <w:rPr>
          <w:rFonts w:cs="Times New Roman"/>
          <w:color w:val="auto"/>
          <w:szCs w:val="24"/>
        </w:rPr>
        <w:t xml:space="preserve"> and</w:t>
      </w:r>
      <w:r w:rsidR="001F4B7F" w:rsidRPr="007D3EF7">
        <w:rPr>
          <w:rFonts w:cs="Times New Roman"/>
          <w:color w:val="auto"/>
          <w:szCs w:val="24"/>
        </w:rPr>
        <w:t xml:space="preserve"> Pizer</w:t>
      </w:r>
      <w:r w:rsidR="001F4B7F">
        <w:rPr>
          <w:rFonts w:cs="Times New Roman"/>
          <w:color w:val="auto"/>
          <w:szCs w:val="24"/>
        </w:rPr>
        <w:t>, 2003</w:t>
      </w:r>
      <w:r w:rsidR="00630914">
        <w:t>)</w:t>
      </w:r>
      <w:r w:rsidR="00755BE7">
        <w:t xml:space="preserve"> and </w:t>
      </w:r>
      <w:proofErr w:type="spellStart"/>
      <w:r>
        <w:t>EAD</w:t>
      </w:r>
      <w:r w:rsidRPr="00F93755">
        <w:rPr>
          <w:vertAlign w:val="subscript"/>
        </w:rPr>
        <w:t>h</w:t>
      </w:r>
      <w:proofErr w:type="spellEnd"/>
      <w:r>
        <w:rPr>
          <w:vertAlign w:val="subscript"/>
        </w:rPr>
        <w:t xml:space="preserve"> </w:t>
      </w:r>
      <w:r>
        <w:t xml:space="preserve">is the expected annual damages when house is elevated by h feet. </w:t>
      </w:r>
      <w:r w:rsidR="00755BE7">
        <w:t>Xian et al. (2017) substitute EAD with</w:t>
      </w:r>
      <w:r w:rsidR="00743B06">
        <w:t xml:space="preserve"> NFIP</w:t>
      </w:r>
      <w:r w:rsidR="00755BE7">
        <w:t xml:space="preserve"> insurance premium</w:t>
      </w:r>
      <w:r w:rsidR="00743B06">
        <w:t>s</w:t>
      </w:r>
      <w:r w:rsidR="00755BE7">
        <w:t xml:space="preserve"> assuming that it reflects the actual risk.</w:t>
      </w:r>
      <w:r w:rsidR="00743B06">
        <w:t xml:space="preserve"> However, NFIP was originally designed to subsidize the cost of flood insurance on existing homes (</w:t>
      </w:r>
      <w:r w:rsidR="00743B06" w:rsidRPr="00743B06">
        <w:t>Michel-</w:t>
      </w:r>
      <w:proofErr w:type="spellStart"/>
      <w:r w:rsidR="00743B06" w:rsidRPr="00743B06">
        <w:t>Kerjan</w:t>
      </w:r>
      <w:proofErr w:type="spellEnd"/>
      <w:r w:rsidR="00743B06">
        <w:t>, 2010</w:t>
      </w:r>
      <w:r w:rsidR="00A65EF7">
        <w:t xml:space="preserve">; </w:t>
      </w:r>
      <w:proofErr w:type="spellStart"/>
      <w:r w:rsidR="00A65EF7" w:rsidRPr="00835268">
        <w:t>Kousky</w:t>
      </w:r>
      <w:proofErr w:type="spellEnd"/>
      <w:r w:rsidR="00A65EF7">
        <w:t xml:space="preserve"> and </w:t>
      </w:r>
      <w:proofErr w:type="spellStart"/>
      <w:r w:rsidR="00A65EF7" w:rsidRPr="00835268">
        <w:t>Kunreuther</w:t>
      </w:r>
      <w:proofErr w:type="spellEnd"/>
      <w:r w:rsidR="00A65EF7" w:rsidRPr="00835268">
        <w:t>, 2014</w:t>
      </w:r>
      <w:r w:rsidR="00A65EF7">
        <w:t xml:space="preserve">; </w:t>
      </w:r>
      <w:r w:rsidR="00A65EF7" w:rsidRPr="00835268">
        <w:t>Miller</w:t>
      </w:r>
      <w:r w:rsidR="00A65EF7">
        <w:t xml:space="preserve"> et al.</w:t>
      </w:r>
      <w:r w:rsidR="00A65EF7" w:rsidRPr="00835268">
        <w:t>,</w:t>
      </w:r>
      <w:r w:rsidR="00A65EF7">
        <w:t xml:space="preserve"> </w:t>
      </w:r>
      <w:r w:rsidR="00A65EF7" w:rsidRPr="00835268">
        <w:t>2019</w:t>
      </w:r>
      <w:r w:rsidR="00A65EF7">
        <w:t xml:space="preserve">; </w:t>
      </w:r>
      <w:proofErr w:type="spellStart"/>
      <w:r w:rsidR="00A65EF7" w:rsidRPr="00835268">
        <w:t>Dinan</w:t>
      </w:r>
      <w:proofErr w:type="spellEnd"/>
      <w:r w:rsidR="00A65EF7">
        <w:t xml:space="preserve"> et al., </w:t>
      </w:r>
      <w:r w:rsidR="00A65EF7" w:rsidRPr="00835268">
        <w:t>2019</w:t>
      </w:r>
      <w:r w:rsidR="00743B06">
        <w:t>)</w:t>
      </w:r>
      <w:r w:rsidR="00755BE7">
        <w:t xml:space="preserve"> </w:t>
      </w:r>
      <w:r w:rsidR="00225EEF">
        <w:t>and is not risk-based especially for pre-</w:t>
      </w:r>
      <w:r w:rsidR="009E0C5E">
        <w:t>FIRM</w:t>
      </w:r>
      <w:r w:rsidR="00225EEF">
        <w:t xml:space="preserve"> homes</w:t>
      </w:r>
      <w:r w:rsidR="009E0C5E">
        <w:t xml:space="preserve"> (structures that were built before the FEMA flood maps)</w:t>
      </w:r>
      <w:r w:rsidR="00225EEF">
        <w:t xml:space="preserve">. </w:t>
      </w:r>
      <w:r w:rsidR="006A1A09">
        <w:t xml:space="preserve">To reflect the actual expected damages, we follow </w:t>
      </w:r>
      <w:r w:rsidR="007874C6">
        <w:t xml:space="preserve">de </w:t>
      </w:r>
      <w:proofErr w:type="spellStart"/>
      <w:r w:rsidR="007874C6">
        <w:t>Ruig</w:t>
      </w:r>
      <w:proofErr w:type="spellEnd"/>
      <w:r w:rsidR="007874C6">
        <w:t xml:space="preserve"> et al. (2019), </w:t>
      </w:r>
      <w:proofErr w:type="spellStart"/>
      <w:r w:rsidR="00121EAB">
        <w:t>Moel</w:t>
      </w:r>
      <w:proofErr w:type="spellEnd"/>
      <w:r w:rsidR="00121EAB">
        <w:t xml:space="preserve"> et al. (2014)</w:t>
      </w:r>
      <w:r w:rsidR="006A1A09">
        <w:t xml:space="preserve"> and</w:t>
      </w:r>
      <w:r w:rsidR="00121EAB">
        <w:t xml:space="preserve"> Arnell (1988) and</w:t>
      </w:r>
      <w:r w:rsidR="006A1A09">
        <w:t xml:space="preserve"> calculate EAD </w:t>
      </w:r>
      <w:r w:rsidR="00121EAB">
        <w:t xml:space="preserve">as the area under the </w:t>
      </w:r>
      <w:r w:rsidR="00EE1887">
        <w:t>graph of damage against exceedance</w:t>
      </w:r>
      <w:r w:rsidR="007C29CF">
        <w:t xml:space="preserve"> </w:t>
      </w:r>
      <w:r w:rsidR="00EE1887">
        <w:t>p</w:t>
      </w:r>
      <w:r w:rsidR="007C29CF">
        <w:t>robability</w:t>
      </w:r>
      <w:r w:rsidR="00EE1887">
        <w:t xml:space="preserve"> which is called an Exceedance Probability Loss</w:t>
      </w:r>
      <w:r w:rsidR="007C29CF">
        <w:t xml:space="preserve"> (</w:t>
      </w:r>
      <w:r w:rsidR="00121EAB">
        <w:t>EPL</w:t>
      </w:r>
      <w:r w:rsidR="007C29CF">
        <w:t>)</w:t>
      </w:r>
      <w:r w:rsidR="00121EAB">
        <w:t xml:space="preserve"> curve</w:t>
      </w:r>
      <w:r w:rsidR="00EE1887">
        <w:t xml:space="preserve">. </w:t>
      </w:r>
      <w:proofErr w:type="gramStart"/>
      <w:r w:rsidR="00EE1887">
        <w:t>Therefore</w:t>
      </w:r>
      <w:proofErr w:type="gramEnd"/>
      <w:r w:rsidR="00EE1887">
        <w:t xml:space="preserve"> EAD is</w:t>
      </w:r>
      <w:r w:rsidR="009854C3">
        <w:t xml:space="preserve"> (de </w:t>
      </w:r>
      <w:proofErr w:type="spellStart"/>
      <w:r w:rsidR="009854C3">
        <w:t>Ruig</w:t>
      </w:r>
      <w:proofErr w:type="spellEnd"/>
      <w:r w:rsidR="009854C3">
        <w:t xml:space="preserve"> et al, 2019)</w:t>
      </w:r>
    </w:p>
    <w:tbl>
      <w:tblPr>
        <w:tblStyle w:val="TableGrid"/>
        <w:tblW w:w="0" w:type="auto"/>
        <w:tblLook w:val="04A0" w:firstRow="1" w:lastRow="0" w:firstColumn="1" w:lastColumn="0" w:noHBand="0" w:noVBand="1"/>
      </w:tblPr>
      <w:tblGrid>
        <w:gridCol w:w="8854"/>
        <w:gridCol w:w="496"/>
      </w:tblGrid>
      <w:tr w:rsidR="006A1A09" w14:paraId="28532183" w14:textId="77777777" w:rsidTr="0025381F">
        <w:tc>
          <w:tcPr>
            <w:tcW w:w="8854" w:type="dxa"/>
            <w:vAlign w:val="center"/>
          </w:tcPr>
          <w:p w14:paraId="0F68409D" w14:textId="52500CF0" w:rsidR="006A1A09" w:rsidRDefault="006A1A09" w:rsidP="00121EAB">
            <w:pPr>
              <w:jc w:val="center"/>
            </w:pPr>
            <m:oMathPara>
              <m:oMath>
                <m:r>
                  <w:rPr>
                    <w:rFonts w:ascii="Cambria Math" w:hAnsi="Cambria Math"/>
                  </w:rPr>
                  <m:t>EAD=</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min</m:t>
                        </m:r>
                      </m:sub>
                    </m:sSub>
                  </m:sub>
                  <m:sup>
                    <m:sSub>
                      <m:sSubPr>
                        <m:ctrlPr>
                          <w:rPr>
                            <w:rFonts w:ascii="Cambria Math" w:hAnsi="Cambria Math"/>
                            <w:i/>
                          </w:rPr>
                        </m:ctrlPr>
                      </m:sSubPr>
                      <m:e>
                        <m:r>
                          <w:rPr>
                            <w:rFonts w:ascii="Cambria Math" w:hAnsi="Cambria Math"/>
                          </w:rPr>
                          <m:t>P</m:t>
                        </m:r>
                      </m:e>
                      <m:sub>
                        <m:r>
                          <w:rPr>
                            <w:rFonts w:ascii="Cambria Math" w:hAnsi="Cambria Math"/>
                          </w:rPr>
                          <m:t>max</m:t>
                        </m:r>
                      </m:sub>
                    </m:sSub>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p</m:t>
                            </m:r>
                          </m:e>
                          <m:sub>
                            <m:acc>
                              <m:accPr>
                                <m:chr m:val="̅"/>
                                <m:ctrlPr>
                                  <w:rPr>
                                    <w:rFonts w:ascii="Cambria Math" w:hAnsi="Cambria Math"/>
                                    <w:i/>
                                  </w:rPr>
                                </m:ctrlPr>
                              </m:accPr>
                              <m:e>
                                <m:r>
                                  <w:rPr>
                                    <w:rFonts w:ascii="Cambria Math" w:hAnsi="Cambria Math"/>
                                  </w:rPr>
                                  <m:t>μ</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ξ</m:t>
                                </m:r>
                              </m:e>
                            </m:acc>
                          </m:sub>
                        </m:sSub>
                      </m:e>
                    </m:d>
                    <m:r>
                      <w:rPr>
                        <w:rFonts w:ascii="Cambria Math" w:hAnsi="Cambria Math"/>
                      </w:rPr>
                      <m:t xml:space="preserve"> d</m:t>
                    </m:r>
                    <m:sSub>
                      <m:sSubPr>
                        <m:ctrlPr>
                          <w:rPr>
                            <w:rFonts w:ascii="Cambria Math" w:hAnsi="Cambria Math"/>
                            <w:i/>
                          </w:rPr>
                        </m:ctrlPr>
                      </m:sSubPr>
                      <m:e>
                        <m:r>
                          <w:rPr>
                            <w:rFonts w:ascii="Cambria Math" w:hAnsi="Cambria Math"/>
                          </w:rPr>
                          <m:t>p</m:t>
                        </m:r>
                      </m:e>
                      <m:sub>
                        <m:acc>
                          <m:accPr>
                            <m:chr m:val="̅"/>
                            <m:ctrlPr>
                              <w:rPr>
                                <w:rFonts w:ascii="Cambria Math" w:hAnsi="Cambria Math"/>
                                <w:i/>
                              </w:rPr>
                            </m:ctrlPr>
                          </m:accPr>
                          <m:e>
                            <m:r>
                              <w:rPr>
                                <w:rFonts w:ascii="Cambria Math" w:hAnsi="Cambria Math"/>
                              </w:rPr>
                              <m:t>μ</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ξ</m:t>
                            </m:r>
                          </m:e>
                        </m:acc>
                      </m:sub>
                    </m:sSub>
                  </m:e>
                </m:nary>
              </m:oMath>
            </m:oMathPara>
          </w:p>
        </w:tc>
        <w:tc>
          <w:tcPr>
            <w:tcW w:w="496" w:type="dxa"/>
            <w:vAlign w:val="center"/>
          </w:tcPr>
          <w:p w14:paraId="2D837CAF" w14:textId="0B20B91B" w:rsidR="006A1A09" w:rsidRDefault="006A1A09" w:rsidP="00121EAB">
            <w:pPr>
              <w:jc w:val="center"/>
            </w:pPr>
            <w:r>
              <w:t>(</w:t>
            </w:r>
            <w:r w:rsidR="009854C3">
              <w:t>6</w:t>
            </w:r>
            <w:r>
              <w:t>)</w:t>
            </w:r>
          </w:p>
        </w:tc>
      </w:tr>
    </w:tbl>
    <w:p w14:paraId="0FF79C6A" w14:textId="554F1E73" w:rsidR="003D24C5" w:rsidRDefault="0025381F" w:rsidP="00C84646">
      <w:r>
        <w:t xml:space="preserve">where p is exceedance probability derived from GEV distribution parameters of which are maximum likelihood estimations of MCMC realizations and </w:t>
      </w:r>
      <w:r w:rsidR="00EE1887">
        <w:t xml:space="preserve">D(p) is the damage caused by </w:t>
      </w:r>
      <w:r w:rsidR="009854C3">
        <w:t xml:space="preserve">a flood with exceedance probability of p. </w:t>
      </w:r>
      <w:r w:rsidR="003D24C5">
        <w:t xml:space="preserve">D is </w:t>
      </w:r>
      <w:r w:rsidR="009854C3">
        <w:t>derived</w:t>
      </w:r>
      <w:r w:rsidR="003D24C5">
        <w:t xml:space="preserve"> from the depth-damage function which relates the water level to monetary value of damages. </w:t>
      </w:r>
      <w:r w:rsidR="002300F4">
        <w:t xml:space="preserve">We adopted the </w:t>
      </w:r>
      <w:r w:rsidR="003D24C5">
        <w:t xml:space="preserve">depth-damage function </w:t>
      </w:r>
      <w:r w:rsidR="002300F4">
        <w:t>from European Commission’s science and knowledge service (</w:t>
      </w:r>
      <w:hyperlink r:id="rId15" w:history="1">
        <w:r w:rsidR="00615AD3" w:rsidRPr="000F5B2F">
          <w:rPr>
            <w:rStyle w:val="Hyperlink"/>
          </w:rPr>
          <w:t>https://ec.europa.eu/jrc/en/publication/global-flood-depth-damage-functions-methodology-and-database-guidelines</w:t>
        </w:r>
      </w:hyperlink>
      <w:r w:rsidR="00615AD3">
        <w:t>; accessed on July 29, 2019</w:t>
      </w:r>
      <w:r w:rsidR="002300F4">
        <w:t xml:space="preserve">) </w:t>
      </w:r>
      <w:r w:rsidR="00954B42">
        <w:t>(</w:t>
      </w:r>
      <w:r w:rsidR="00954B42" w:rsidRPr="00954B42">
        <w:t>Huizinga</w:t>
      </w:r>
      <w:r w:rsidR="00954B42">
        <w:t xml:space="preserve"> et al., 2017) </w:t>
      </w:r>
      <w:r w:rsidR="00615AD3">
        <w:t>as</w:t>
      </w:r>
      <w:r w:rsidR="003D24C5">
        <w:t xml:space="preserve"> shown in figure 3</w:t>
      </w:r>
      <w:r w:rsidR="00A769A5">
        <w:t xml:space="preserve"> and table </w:t>
      </w:r>
      <w:r w:rsidR="00F15518">
        <w:t>1</w:t>
      </w:r>
      <w:r w:rsidR="003D24C5">
        <w:t>.</w:t>
      </w:r>
      <w:r w:rsidR="00626FB7">
        <w:t xml:space="preserve"> This depth-damage function is an average of damage functions for residential buildings in USA and Canada. For USA, the damage estimates are from FEMA’s Hazard U.S. (HAZUS) software and since buildings with and without basements are averaged, the damage at depth of 0 is greater than zero.  </w:t>
      </w:r>
    </w:p>
    <w:p w14:paraId="4AD91507" w14:textId="35991F5A" w:rsidR="00071D70" w:rsidRDefault="003D24C5" w:rsidP="00F15518">
      <w:pPr>
        <w:jc w:val="center"/>
      </w:pPr>
      <w:r w:rsidRPr="003D24C5">
        <w:rPr>
          <w:noProof/>
        </w:rPr>
        <w:lastRenderedPageBreak/>
        <w:drawing>
          <wp:inline distT="0" distB="0" distL="0" distR="0" wp14:anchorId="73600F59" wp14:editId="50BC5D0E">
            <wp:extent cx="3898232" cy="27974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662" cy="2805683"/>
                    </a:xfrm>
                    <a:prstGeom prst="rect">
                      <a:avLst/>
                    </a:prstGeom>
                  </pic:spPr>
                </pic:pic>
              </a:graphicData>
            </a:graphic>
          </wp:inline>
        </w:drawing>
      </w:r>
    </w:p>
    <w:p w14:paraId="7EBC48E8" w14:textId="5E405246" w:rsidR="003D24C5" w:rsidRDefault="003D24C5" w:rsidP="00541830">
      <w:pPr>
        <w:pStyle w:val="NoSpacing"/>
      </w:pPr>
      <w:r>
        <w:t>Figure 3: The depth-damage function used in this study. The x axis is the water level in the structure and the y axis is the damages as a percent of the total house value (including the contents)</w:t>
      </w:r>
    </w:p>
    <w:p w14:paraId="64A1331A" w14:textId="0479B878" w:rsidR="00A769A5" w:rsidRDefault="00A769A5" w:rsidP="00616F36">
      <w:pPr>
        <w:pStyle w:val="Quote"/>
      </w:pPr>
      <w:r>
        <w:t xml:space="preserve">Table </w:t>
      </w:r>
      <w:r w:rsidR="00616F36">
        <w:t>1</w:t>
      </w:r>
      <w:r>
        <w:t>: The</w:t>
      </w:r>
      <w:r w:rsidR="00616F36">
        <w:t xml:space="preserve"> depth-</w:t>
      </w:r>
      <w:r>
        <w:t>damage relationship used in this study.</w:t>
      </w:r>
      <w:r w:rsidR="00937DC7" w:rsidRPr="00937DC7">
        <w:t xml:space="preserve"> </w:t>
      </w:r>
      <w:r w:rsidR="00937DC7" w:rsidRPr="007463D4">
        <w:t>Contents of the house is also considered in the fraction of damages</w:t>
      </w:r>
      <w:r w:rsidR="00937DC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953"/>
        <w:gridCol w:w="500"/>
        <w:gridCol w:w="620"/>
        <w:gridCol w:w="620"/>
        <w:gridCol w:w="620"/>
        <w:gridCol w:w="620"/>
        <w:gridCol w:w="620"/>
        <w:gridCol w:w="740"/>
        <w:gridCol w:w="1047"/>
      </w:tblGrid>
      <w:tr w:rsidR="00A769A5" w:rsidRPr="007463D4" w14:paraId="439A79B3" w14:textId="77777777" w:rsidTr="006B4F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941FC" w14:textId="77777777" w:rsidR="00A769A5" w:rsidRPr="007463D4" w:rsidRDefault="00A769A5" w:rsidP="006B4FEF">
            <w:pPr>
              <w:rPr>
                <w:rFonts w:cs="Times New Roman"/>
              </w:rPr>
            </w:pPr>
            <w:r w:rsidRPr="007463D4">
              <w:t>Depth of water in the house [ft]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47B9" w14:textId="77777777" w:rsidR="00A769A5" w:rsidRPr="007463D4" w:rsidRDefault="00A769A5" w:rsidP="006B4FEF">
            <w:pPr>
              <w:rPr>
                <w:rFonts w:cs="Times New Roman"/>
              </w:rPr>
            </w:pPr>
            <w:r w:rsidRPr="007463D4">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D62B1" w14:textId="77777777" w:rsidR="00A769A5" w:rsidRPr="007463D4" w:rsidRDefault="00A769A5" w:rsidP="006B4FEF">
            <w:pPr>
              <w:rPr>
                <w:rFonts w:cs="Times New Roman"/>
              </w:rPr>
            </w:pPr>
            <w:r w:rsidRPr="007463D4">
              <w:t>1.64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FFC04" w14:textId="77777777" w:rsidR="00A769A5" w:rsidRPr="007463D4" w:rsidRDefault="00A769A5" w:rsidP="006B4FEF">
            <w:pPr>
              <w:rPr>
                <w:rFonts w:cs="Times New Roman"/>
              </w:rPr>
            </w:pPr>
            <w:r w:rsidRPr="007463D4">
              <w:t>3.28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E584" w14:textId="77777777" w:rsidR="00A769A5" w:rsidRPr="007463D4" w:rsidRDefault="00A769A5" w:rsidP="006B4FEF">
            <w:pPr>
              <w:rPr>
                <w:rFonts w:cs="Times New Roman"/>
              </w:rPr>
            </w:pPr>
            <w:r w:rsidRPr="007463D4">
              <w:t>4.92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8DE68" w14:textId="77777777" w:rsidR="00A769A5" w:rsidRPr="007463D4" w:rsidRDefault="00A769A5" w:rsidP="006B4FEF">
            <w:pPr>
              <w:rPr>
                <w:rFonts w:cs="Times New Roman"/>
              </w:rPr>
            </w:pPr>
            <w:r w:rsidRPr="007463D4">
              <w:t>6.56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91360" w14:textId="77777777" w:rsidR="00A769A5" w:rsidRPr="007463D4" w:rsidRDefault="00A769A5" w:rsidP="006B4FEF">
            <w:pPr>
              <w:rPr>
                <w:rFonts w:cs="Times New Roman"/>
              </w:rPr>
            </w:pPr>
            <w:r w:rsidRPr="007463D4">
              <w:t>9.84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90A4F" w14:textId="77777777" w:rsidR="00A769A5" w:rsidRPr="007463D4" w:rsidRDefault="00A769A5" w:rsidP="006B4FEF">
            <w:pPr>
              <w:rPr>
                <w:rFonts w:cs="Times New Roman"/>
              </w:rPr>
            </w:pPr>
            <w:r w:rsidRPr="007463D4">
              <w:t>13.12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80FF" w14:textId="77777777" w:rsidR="00A769A5" w:rsidRPr="007463D4" w:rsidRDefault="00A769A5" w:rsidP="006B4FEF">
            <w:pPr>
              <w:rPr>
                <w:rFonts w:cs="Times New Roman"/>
              </w:rPr>
            </w:pPr>
            <w:r w:rsidRPr="007463D4">
              <w:t>16.40</w:t>
            </w:r>
          </w:p>
        </w:tc>
      </w:tr>
      <w:tr w:rsidR="00A769A5" w:rsidRPr="007463D4" w14:paraId="3FA2A929" w14:textId="77777777" w:rsidTr="006B4F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B914F" w14:textId="77777777" w:rsidR="00A769A5" w:rsidRPr="007463D4" w:rsidRDefault="00A769A5" w:rsidP="006B4FEF">
            <w:pPr>
              <w:rPr>
                <w:rFonts w:cs="Times New Roman"/>
              </w:rPr>
            </w:pPr>
            <w:r w:rsidRPr="007463D4">
              <w:t>Damage as a fraction of the house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24FE7" w14:textId="77777777" w:rsidR="00A769A5" w:rsidRPr="007463D4" w:rsidRDefault="00A769A5" w:rsidP="006B4FEF">
            <w:pPr>
              <w:rPr>
                <w:rFonts w:cs="Times New Roman"/>
              </w:rPr>
            </w:pPr>
            <w:r w:rsidRPr="007463D4">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02057" w14:textId="77777777" w:rsidR="00A769A5" w:rsidRPr="007463D4" w:rsidRDefault="00A769A5" w:rsidP="006B4FEF">
            <w:pPr>
              <w:rPr>
                <w:rFonts w:cs="Times New Roman"/>
              </w:rPr>
            </w:pPr>
            <w:r w:rsidRPr="007463D4">
              <w:t>0.44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59820" w14:textId="77777777" w:rsidR="00A769A5" w:rsidRPr="007463D4" w:rsidRDefault="00A769A5" w:rsidP="006B4FEF">
            <w:pPr>
              <w:rPr>
                <w:rFonts w:cs="Times New Roman"/>
              </w:rPr>
            </w:pPr>
            <w:r w:rsidRPr="007463D4">
              <w:t>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9DA65" w14:textId="77777777" w:rsidR="00A769A5" w:rsidRPr="007463D4" w:rsidRDefault="00A769A5" w:rsidP="006B4FEF">
            <w:pPr>
              <w:rPr>
                <w:rFonts w:cs="Times New Roman"/>
              </w:rPr>
            </w:pPr>
            <w:r w:rsidRPr="007463D4">
              <w:t>0.68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C1534" w14:textId="77777777" w:rsidR="00A769A5" w:rsidRPr="007463D4" w:rsidRDefault="00A769A5" w:rsidP="006B4FEF">
            <w:pPr>
              <w:rPr>
                <w:rFonts w:cs="Times New Roman"/>
              </w:rPr>
            </w:pPr>
            <w:r w:rsidRPr="007463D4">
              <w:t>0.78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654CA" w14:textId="77777777" w:rsidR="00A769A5" w:rsidRPr="007463D4" w:rsidRDefault="00A769A5" w:rsidP="006B4FEF">
            <w:pPr>
              <w:rPr>
                <w:rFonts w:cs="Times New Roman"/>
              </w:rPr>
            </w:pPr>
            <w:r w:rsidRPr="007463D4">
              <w:t>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FAE9C" w14:textId="77777777" w:rsidR="00A769A5" w:rsidRPr="007463D4" w:rsidRDefault="00A769A5" w:rsidP="006B4FEF">
            <w:pPr>
              <w:rPr>
                <w:rFonts w:cs="Times New Roman"/>
              </w:rPr>
            </w:pPr>
            <w:r w:rsidRPr="007463D4">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A7FB9" w14:textId="77777777" w:rsidR="00A769A5" w:rsidRPr="007463D4" w:rsidRDefault="00A769A5" w:rsidP="006B4FEF">
            <w:pPr>
              <w:rPr>
                <w:rFonts w:cs="Times New Roman"/>
              </w:rPr>
            </w:pPr>
            <w:r w:rsidRPr="007463D4">
              <w:t>0.</w:t>
            </w:r>
            <w:commentRangeStart w:id="5"/>
            <w:r w:rsidRPr="007463D4">
              <w:t>96</w:t>
            </w:r>
            <w:commentRangeEnd w:id="5"/>
            <w:r w:rsidR="006D6E31">
              <w:rPr>
                <w:rStyle w:val="CommentReference"/>
              </w:rPr>
              <w:commentReference w:id="5"/>
            </w:r>
          </w:p>
        </w:tc>
      </w:tr>
    </w:tbl>
    <w:p w14:paraId="28F66D09" w14:textId="77777777" w:rsidR="00A769A5" w:rsidRDefault="00A769A5" w:rsidP="00C84646"/>
    <w:p w14:paraId="05087B2C" w14:textId="77777777" w:rsidR="00D60EC1" w:rsidRPr="00F150D5" w:rsidRDefault="006629E4" w:rsidP="00D60EC1">
      <w:pPr>
        <w:pStyle w:val="Heading2"/>
      </w:pPr>
      <w:r w:rsidRPr="00F150D5">
        <w:t>B</w:t>
      </w:r>
      <w:r w:rsidR="00D60EC1" w:rsidRPr="00F150D5">
        <w:t>enefit</w:t>
      </w:r>
      <w:r w:rsidRPr="00F150D5">
        <w:t>-to-cost ratio</w:t>
      </w:r>
      <w:r w:rsidR="00D60EC1" w:rsidRPr="00F150D5">
        <w:t xml:space="preserve"> </w:t>
      </w:r>
    </w:p>
    <w:p w14:paraId="316A015B" w14:textId="35988DB4" w:rsidR="00C76984" w:rsidRDefault="00F3075A" w:rsidP="00C76984">
      <w:r>
        <w:t xml:space="preserve">Most NFIP participants (that are mainly motivated by the lower insurance premiums) elevate the structure to FEMA’s minimum requirement. In most cases, a cost-benefit analysis (CBA) is not required in such a decision (because if the total cost of elevation is less than 100,000 USD, the requirement of conducting a cost-benefit analysis is </w:t>
      </w:r>
      <w:commentRangeStart w:id="6"/>
      <w:r>
        <w:t>waived</w:t>
      </w:r>
      <w:commentRangeEnd w:id="6"/>
      <w:r w:rsidR="002E6CAC">
        <w:rPr>
          <w:rStyle w:val="CommentReference"/>
        </w:rPr>
        <w:commentReference w:id="6"/>
      </w:r>
      <w:r>
        <w:t xml:space="preserve">). Therefore, most homeowners choose to elevate the building to FEMA’s recommendation over conducting a thorough CBA and elevating to an optimal elevation. However, not all households in flood-prone areas participate in NFIP and they do not have to elevate their houses to FEMA’s minimum requirement. </w:t>
      </w:r>
      <w:r w:rsidR="002E6CAC">
        <w:t xml:space="preserve">We conduct a CBA </w:t>
      </w:r>
      <w:r w:rsidR="00656EC7">
        <w:t>and</w:t>
      </w:r>
      <w:r w:rsidR="002E6CAC">
        <w:t xml:space="preserve"> the ratio of benefit to cost is one of our decision objectives. </w:t>
      </w:r>
      <w:r w:rsidR="00C76984">
        <w:t xml:space="preserve">In our </w:t>
      </w:r>
      <w:r w:rsidR="002E6CAC">
        <w:t>CBA</w:t>
      </w:r>
      <w:r w:rsidR="00C76984">
        <w:t xml:space="preserve">, cost is the </w:t>
      </w:r>
      <w:r w:rsidR="00C76984">
        <w:lastRenderedPageBreak/>
        <w:t>upfront cost (C</w:t>
      </w:r>
      <w:r w:rsidR="00656EC7">
        <w:rPr>
          <w:vertAlign w:val="subscript"/>
        </w:rPr>
        <w:t>h</w:t>
      </w:r>
      <w:r w:rsidR="00C76984">
        <w:t xml:space="preserve">) and benefit is the money saved in expected damages after elevating the house. </w:t>
      </w:r>
      <w:r w:rsidR="00A52024">
        <w:t>Therefore,</w:t>
      </w:r>
      <w:r w:rsidR="00C76984">
        <w:t xml:space="preserve"> the benefit-to-cost ratio is calculated by </w:t>
      </w:r>
    </w:p>
    <w:tbl>
      <w:tblPr>
        <w:tblStyle w:val="TableGrid"/>
        <w:tblW w:w="0" w:type="auto"/>
        <w:tblLook w:val="04A0" w:firstRow="1" w:lastRow="0" w:firstColumn="1" w:lastColumn="0" w:noHBand="0" w:noVBand="1"/>
      </w:tblPr>
      <w:tblGrid>
        <w:gridCol w:w="8854"/>
        <w:gridCol w:w="496"/>
      </w:tblGrid>
      <w:tr w:rsidR="00C76984" w14:paraId="3F9A228F" w14:textId="77777777" w:rsidTr="006B4FEF">
        <w:tc>
          <w:tcPr>
            <w:tcW w:w="8995" w:type="dxa"/>
            <w:vAlign w:val="center"/>
          </w:tcPr>
          <w:p w14:paraId="4AC2C6A4" w14:textId="167E980A" w:rsidR="00C76984" w:rsidRDefault="00AA6AA4" w:rsidP="006B4FEF">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2</m:t>
                    </m:r>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h</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tc>
        <w:tc>
          <w:tcPr>
            <w:tcW w:w="355" w:type="dxa"/>
            <w:vAlign w:val="center"/>
          </w:tcPr>
          <w:p w14:paraId="2D4B5F77" w14:textId="5EC9ED8C" w:rsidR="00C76984" w:rsidRDefault="00C76984" w:rsidP="006B4FEF">
            <w:pPr>
              <w:jc w:val="center"/>
            </w:pPr>
            <w:r>
              <w:t>(</w:t>
            </w:r>
            <w:r w:rsidR="002E6CAC">
              <w:t>7</w:t>
            </w:r>
            <w:r>
              <w:t>)</w:t>
            </w:r>
          </w:p>
        </w:tc>
      </w:tr>
    </w:tbl>
    <w:p w14:paraId="20885DF8" w14:textId="3112BA36" w:rsidR="00F00150" w:rsidRDefault="004550D1" w:rsidP="0094758E">
      <w:r>
        <w:t xml:space="preserve">where </w:t>
      </w:r>
      <w:proofErr w:type="spellStart"/>
      <w:r w:rsidR="00E20C7C">
        <w:t>B</w:t>
      </w:r>
      <w:r w:rsidR="00A769A5">
        <w:rPr>
          <w:vertAlign w:val="subscript"/>
        </w:rPr>
        <w:t>h</w:t>
      </w:r>
      <w:proofErr w:type="spellEnd"/>
      <w:r>
        <w:t xml:space="preserve"> is the</w:t>
      </w:r>
      <w:r w:rsidR="00E20C7C">
        <w:t xml:space="preserve"> benefits of elevating a structure by h feet which is</w:t>
      </w:r>
      <w:r>
        <w:t xml:space="preserve"> damages over the </w:t>
      </w:r>
      <w:r w:rsidR="002E241F">
        <w:t>structure</w:t>
      </w:r>
      <w:r>
        <w:t xml:space="preserve"> lifetime after elevating </w:t>
      </w:r>
      <w:r w:rsidR="00A769A5">
        <w:t xml:space="preserve">(by h feet) </w:t>
      </w:r>
      <w:r w:rsidR="00E20C7C">
        <w:t>minus</w:t>
      </w:r>
      <w:r>
        <w:t xml:space="preserve"> the </w:t>
      </w:r>
      <w:r w:rsidR="002E241F">
        <w:t xml:space="preserve">lifetime </w:t>
      </w:r>
      <w:r>
        <w:t xml:space="preserve">expected damages before </w:t>
      </w:r>
      <w:r w:rsidR="002E241F">
        <w:t>lifting</w:t>
      </w:r>
      <w:r>
        <w:t xml:space="preserve">. </w:t>
      </w:r>
    </w:p>
    <w:p w14:paraId="0FD19C5A" w14:textId="2F07770A" w:rsidR="006B4FEF" w:rsidRDefault="006B4FEF" w:rsidP="006B4FEF">
      <w:pPr>
        <w:pStyle w:val="Heading2"/>
      </w:pPr>
      <w:r>
        <w:t>Decision objectives under uncertainty</w:t>
      </w:r>
    </w:p>
    <w:p w14:paraId="4C6E8B41" w14:textId="4FFB2BD3" w:rsidR="006B4FEF" w:rsidRDefault="00D67041" w:rsidP="006B4FEF">
      <w:r>
        <w:t xml:space="preserve">We use the criteria listed in table </w:t>
      </w:r>
      <w:r w:rsidR="00A80D94">
        <w:t>2 to calculate the decision objectives</w:t>
      </w:r>
      <w:r w:rsidR="00095B98">
        <w:t xml:space="preserve"> under uncertainty</w:t>
      </w:r>
      <w:r w:rsidR="00A80D94">
        <w:t xml:space="preserve">. </w:t>
      </w:r>
    </w:p>
    <w:p w14:paraId="71CD1730" w14:textId="63FF8EF6" w:rsidR="000F1DCA" w:rsidRDefault="000F1DCA" w:rsidP="006B4FEF"/>
    <w:p w14:paraId="5E1C5D64" w14:textId="01379FFF" w:rsidR="000F1DCA" w:rsidRDefault="000F1DCA" w:rsidP="006B4FEF"/>
    <w:p w14:paraId="4E01A4DF" w14:textId="301ED16F" w:rsidR="000F1DCA" w:rsidRDefault="000F1DCA" w:rsidP="006B4FEF"/>
    <w:p w14:paraId="29556D23" w14:textId="4D489B13" w:rsidR="000F1DCA" w:rsidRDefault="000F1DCA" w:rsidP="006B4FEF"/>
    <w:p w14:paraId="75720D0D" w14:textId="336BB42B" w:rsidR="000F1DCA" w:rsidRDefault="000F1DCA" w:rsidP="006B4FEF"/>
    <w:p w14:paraId="45EBA69E" w14:textId="7C63E2CC" w:rsidR="000F1DCA" w:rsidRDefault="000F1DCA" w:rsidP="006B4FEF"/>
    <w:p w14:paraId="1F009F6D" w14:textId="75F0E10D" w:rsidR="000F1DCA" w:rsidRDefault="000F1DCA" w:rsidP="006B4FEF"/>
    <w:p w14:paraId="34F6A25D" w14:textId="74BFA053" w:rsidR="000F1DCA" w:rsidRDefault="000F1DCA" w:rsidP="006B4FEF"/>
    <w:p w14:paraId="7676887C" w14:textId="3C5EF276" w:rsidR="000F1DCA" w:rsidRDefault="000F1DCA" w:rsidP="006B4FEF"/>
    <w:p w14:paraId="2188649F" w14:textId="0888F3BE" w:rsidR="000F1DCA" w:rsidRDefault="000F1DCA" w:rsidP="006B4FEF"/>
    <w:p w14:paraId="08FB7A8C" w14:textId="3298FB04" w:rsidR="000F1DCA" w:rsidRDefault="000F1DCA" w:rsidP="006B4FEF"/>
    <w:p w14:paraId="31E29E19" w14:textId="5DD7F029" w:rsidR="000F1DCA" w:rsidRDefault="000F1DCA" w:rsidP="006B4FEF"/>
    <w:p w14:paraId="40252EE2" w14:textId="6D8473B5" w:rsidR="000F1DCA" w:rsidRDefault="000F1DCA" w:rsidP="006B4FEF"/>
    <w:p w14:paraId="0D57DE45" w14:textId="7EF6A5C0" w:rsidR="000F1DCA" w:rsidRDefault="000F1DCA" w:rsidP="006B4FEF"/>
    <w:p w14:paraId="5741A8CA" w14:textId="0CF538E9" w:rsidR="000F1DCA" w:rsidRDefault="000F1DCA" w:rsidP="006B4FEF"/>
    <w:p w14:paraId="0E1FD192" w14:textId="77777777" w:rsidR="00DF23B5" w:rsidRDefault="00DF23B5" w:rsidP="006B4FEF">
      <w:pPr>
        <w:sectPr w:rsidR="00DF23B5" w:rsidSect="00C5227F">
          <w:footerReference w:type="even" r:id="rId17"/>
          <w:footerReference w:type="default" r:id="rId18"/>
          <w:pgSz w:w="12240" w:h="15840"/>
          <w:pgMar w:top="1440" w:right="1440" w:bottom="1440" w:left="1440" w:header="720" w:footer="720" w:gutter="0"/>
          <w:cols w:space="720"/>
          <w:docGrid w:linePitch="360"/>
        </w:sectPr>
      </w:pPr>
    </w:p>
    <w:p w14:paraId="2E3C10D2" w14:textId="21014FF8" w:rsidR="00616F36" w:rsidRDefault="00616F36" w:rsidP="00616F36">
      <w:pPr>
        <w:pStyle w:val="Quote"/>
      </w:pPr>
      <w:r>
        <w:lastRenderedPageBreak/>
        <w:t xml:space="preserve">Table 2: </w:t>
      </w:r>
      <w:r w:rsidRPr="00616F36">
        <w:rPr>
          <w:rStyle w:val="Emphasis"/>
        </w:rPr>
        <w:t>Equations</w:t>
      </w:r>
      <w:r>
        <w:t xml:space="preserve"> for calculating the decision objectives under </w:t>
      </w:r>
      <w:r w:rsidR="00A80D94">
        <w:t>uncertainty</w:t>
      </w:r>
      <w:r>
        <w:t xml:space="preserve">. </w:t>
      </w:r>
    </w:p>
    <w:tbl>
      <w:tblPr>
        <w:tblStyle w:val="TableGrid"/>
        <w:tblW w:w="5000" w:type="pct"/>
        <w:tblLook w:val="04A0" w:firstRow="1" w:lastRow="0" w:firstColumn="1" w:lastColumn="0" w:noHBand="0" w:noVBand="1"/>
      </w:tblPr>
      <w:tblGrid>
        <w:gridCol w:w="4061"/>
        <w:gridCol w:w="4271"/>
        <w:gridCol w:w="4618"/>
      </w:tblGrid>
      <w:tr w:rsidR="00390227" w14:paraId="1245FA6B" w14:textId="77777777" w:rsidTr="0040432A">
        <w:tc>
          <w:tcPr>
            <w:tcW w:w="1568" w:type="pct"/>
            <w:vAlign w:val="center"/>
          </w:tcPr>
          <w:p w14:paraId="2F960F02" w14:textId="48DA21FF" w:rsidR="00FF3E8F" w:rsidRPr="0040432A" w:rsidRDefault="00FF3E8F" w:rsidP="0040432A">
            <w:pPr>
              <w:jc w:val="center"/>
              <w:rPr>
                <w:b/>
                <w:bCs/>
              </w:rPr>
            </w:pPr>
            <w:r w:rsidRPr="0040432A">
              <w:rPr>
                <w:b/>
                <w:bCs/>
              </w:rPr>
              <w:t>Objective</w:t>
            </w:r>
          </w:p>
        </w:tc>
        <w:tc>
          <w:tcPr>
            <w:tcW w:w="1649" w:type="pct"/>
            <w:vAlign w:val="center"/>
          </w:tcPr>
          <w:p w14:paraId="2ACA7AFF" w14:textId="3795B014" w:rsidR="00FF3E8F" w:rsidRPr="0040432A" w:rsidRDefault="00FF3E8F" w:rsidP="0040432A">
            <w:pPr>
              <w:jc w:val="center"/>
              <w:rPr>
                <w:b/>
                <w:bCs/>
              </w:rPr>
            </w:pPr>
            <w:r w:rsidRPr="0040432A">
              <w:rPr>
                <w:b/>
                <w:bCs/>
              </w:rPr>
              <w:t>Neglecting uncertainty</w:t>
            </w:r>
          </w:p>
        </w:tc>
        <w:tc>
          <w:tcPr>
            <w:tcW w:w="1783" w:type="pct"/>
            <w:vAlign w:val="center"/>
          </w:tcPr>
          <w:p w14:paraId="10FEB0B5" w14:textId="73571C29" w:rsidR="00FF3E8F" w:rsidRPr="0040432A" w:rsidRDefault="00FF3E8F" w:rsidP="0040432A">
            <w:pPr>
              <w:jc w:val="center"/>
              <w:rPr>
                <w:b/>
                <w:bCs/>
              </w:rPr>
            </w:pPr>
            <w:r w:rsidRPr="0040432A">
              <w:rPr>
                <w:b/>
                <w:bCs/>
              </w:rPr>
              <w:t>Considering uncertainty</w:t>
            </w:r>
          </w:p>
        </w:tc>
      </w:tr>
      <w:tr w:rsidR="00390227" w14:paraId="75A6D3A2" w14:textId="77777777" w:rsidTr="0040432A">
        <w:tc>
          <w:tcPr>
            <w:tcW w:w="1568" w:type="pct"/>
            <w:vAlign w:val="center"/>
          </w:tcPr>
          <w:p w14:paraId="21A49864" w14:textId="6851CC34" w:rsidR="00FF3E8F" w:rsidRDefault="00FF3E8F" w:rsidP="0040432A">
            <w:pPr>
              <w:jc w:val="center"/>
            </w:pPr>
            <w:r>
              <w:t>Total cost (O</w:t>
            </w:r>
            <w:r w:rsidRPr="00F01333">
              <w:rPr>
                <w:vertAlign w:val="subscript"/>
              </w:rPr>
              <w:t>1</w:t>
            </w:r>
            <w:r>
              <w:t>)</w:t>
            </w:r>
          </w:p>
        </w:tc>
        <w:tc>
          <w:tcPr>
            <w:tcW w:w="1649" w:type="pct"/>
            <w:vAlign w:val="center"/>
          </w:tcPr>
          <w:p w14:paraId="69BE5C8A" w14:textId="28BFC002" w:rsidR="00FF3E8F" w:rsidRPr="00DA0997" w:rsidRDefault="00AA6AA4" w:rsidP="0040432A">
            <w:pPr>
              <w:jc w:val="center"/>
            </w:pPr>
            <m:oMathPara>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1</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LED</m:t>
                    </m:r>
                  </m:e>
                  <m:sub>
                    <m:r>
                      <w:rPr>
                        <w:rFonts w:ascii="Cambria Math" w:hAnsi="Cambria Math"/>
                      </w:rPr>
                      <m:t>h</m:t>
                    </m:r>
                  </m:sub>
                </m:sSub>
              </m:oMath>
            </m:oMathPara>
          </w:p>
          <w:p w14:paraId="5A04935C" w14:textId="4FD036E5" w:rsidR="00DA0997" w:rsidRPr="00DA0997" w:rsidRDefault="00AA6AA4" w:rsidP="0040432A">
            <w:pPr>
              <w:jc w:val="center"/>
            </w:pPr>
            <m:oMathPara>
              <m:oMath>
                <m:sSub>
                  <m:sSubPr>
                    <m:ctrlPr>
                      <w:rPr>
                        <w:rFonts w:ascii="Cambria Math" w:hAnsi="Cambria Math"/>
                        <w:i/>
                      </w:rPr>
                    </m:ctrlPr>
                  </m:sSubPr>
                  <m:e>
                    <m:r>
                      <w:rPr>
                        <w:rFonts w:ascii="Cambria Math" w:hAnsi="Cambria Math"/>
                      </w:rPr>
                      <m:t>LED</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EAD</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(1+r)</m:t>
                            </m:r>
                          </m:e>
                          <m:sup>
                            <m:r>
                              <w:rPr>
                                <w:rFonts w:ascii="Cambria Math" w:hAnsi="Cambria Math"/>
                              </w:rPr>
                              <m:t>i-1</m:t>
                            </m:r>
                          </m:sup>
                        </m:sSup>
                      </m:den>
                    </m:f>
                  </m:e>
                </m:nary>
              </m:oMath>
            </m:oMathPara>
          </w:p>
          <w:p w14:paraId="4276ECAD" w14:textId="4F908A16" w:rsidR="00DA0997" w:rsidRDefault="00AA6AA4" w:rsidP="0040432A">
            <w:pPr>
              <w:jc w:val="center"/>
            </w:pPr>
            <m:oMathPara>
              <m:oMath>
                <m:sSub>
                  <m:sSubPr>
                    <m:ctrlPr>
                      <w:rPr>
                        <w:rFonts w:ascii="Cambria Math" w:hAnsi="Cambria Math"/>
                        <w:i/>
                      </w:rPr>
                    </m:ctrlPr>
                  </m:sSubPr>
                  <m:e>
                    <m:r>
                      <w:rPr>
                        <w:rFonts w:ascii="Cambria Math" w:hAnsi="Cambria Math"/>
                      </w:rPr>
                      <m:t>EAD</m:t>
                    </m:r>
                  </m:e>
                  <m:sub>
                    <m:r>
                      <w:rPr>
                        <w:rFonts w:ascii="Cambria Math" w:hAnsi="Cambria Math"/>
                      </w:rPr>
                      <m:t>h</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min</m:t>
                        </m:r>
                      </m:sub>
                    </m:sSub>
                  </m:sub>
                  <m:sup>
                    <m:sSub>
                      <m:sSubPr>
                        <m:ctrlPr>
                          <w:rPr>
                            <w:rFonts w:ascii="Cambria Math" w:hAnsi="Cambria Math"/>
                            <w:i/>
                          </w:rPr>
                        </m:ctrlPr>
                      </m:sSubPr>
                      <m:e>
                        <m:r>
                          <w:rPr>
                            <w:rFonts w:ascii="Cambria Math" w:hAnsi="Cambria Math"/>
                          </w:rPr>
                          <m:t>P</m:t>
                        </m:r>
                      </m:e>
                      <m:sub>
                        <m:r>
                          <w:rPr>
                            <w:rFonts w:ascii="Cambria Math" w:hAnsi="Cambria Math"/>
                          </w:rPr>
                          <m:t>max</m:t>
                        </m:r>
                      </m:sub>
                    </m:sSub>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p</m:t>
                            </m:r>
                          </m:e>
                          <m:sub>
                            <m:acc>
                              <m:accPr>
                                <m:chr m:val="̅"/>
                                <m:ctrlPr>
                                  <w:rPr>
                                    <w:rFonts w:ascii="Cambria Math" w:hAnsi="Cambria Math"/>
                                    <w:i/>
                                  </w:rPr>
                                </m:ctrlPr>
                              </m:accPr>
                              <m:e>
                                <m:r>
                                  <w:rPr>
                                    <w:rFonts w:ascii="Cambria Math" w:hAnsi="Cambria Math"/>
                                  </w:rPr>
                                  <m:t>μ</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ξ</m:t>
                                </m:r>
                              </m:e>
                            </m:acc>
                          </m:sub>
                        </m:sSub>
                      </m:e>
                    </m:d>
                    <m:r>
                      <w:rPr>
                        <w:rFonts w:ascii="Cambria Math" w:hAnsi="Cambria Math"/>
                      </w:rPr>
                      <m:t xml:space="preserve"> d</m:t>
                    </m:r>
                    <m:sSub>
                      <m:sSubPr>
                        <m:ctrlPr>
                          <w:rPr>
                            <w:rFonts w:ascii="Cambria Math" w:hAnsi="Cambria Math"/>
                            <w:i/>
                          </w:rPr>
                        </m:ctrlPr>
                      </m:sSubPr>
                      <m:e>
                        <m:r>
                          <w:rPr>
                            <w:rFonts w:ascii="Cambria Math" w:hAnsi="Cambria Math"/>
                          </w:rPr>
                          <m:t>p</m:t>
                        </m:r>
                      </m:e>
                      <m:sub>
                        <m:acc>
                          <m:accPr>
                            <m:chr m:val="̅"/>
                            <m:ctrlPr>
                              <w:rPr>
                                <w:rFonts w:ascii="Cambria Math" w:hAnsi="Cambria Math"/>
                                <w:i/>
                              </w:rPr>
                            </m:ctrlPr>
                          </m:accPr>
                          <m:e>
                            <m:r>
                              <w:rPr>
                                <w:rFonts w:ascii="Cambria Math" w:hAnsi="Cambria Math"/>
                              </w:rPr>
                              <m:t>μ</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ξ</m:t>
                            </m:r>
                          </m:e>
                        </m:acc>
                      </m:sub>
                    </m:sSub>
                  </m:e>
                </m:nary>
              </m:oMath>
            </m:oMathPara>
          </w:p>
        </w:tc>
        <w:tc>
          <w:tcPr>
            <w:tcW w:w="1783" w:type="pct"/>
            <w:vAlign w:val="center"/>
          </w:tcPr>
          <w:p w14:paraId="04B7C6F7" w14:textId="286F6D71" w:rsidR="00FF3E8F" w:rsidRPr="009D7A58" w:rsidRDefault="00AA6AA4" w:rsidP="0040432A">
            <w:pPr>
              <w:jc w:val="center"/>
            </w:pPr>
            <m:oMathPara>
              <m:oMath>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1</m:t>
                        </m:r>
                      </m:e>
                      <m:sub>
                        <m:r>
                          <w:rPr>
                            <w:rFonts w:ascii="Cambria Math" w:hAnsi="Cambria Math"/>
                          </w:rPr>
                          <m:t>h</m:t>
                        </m:r>
                      </m:sub>
                    </m:sSub>
                  </m:sub>
                  <m:sup>
                    <m:r>
                      <w:rPr>
                        <w:rFonts w:ascii="Cambria Math" w:hAnsi="Cambria Math"/>
                      </w:rPr>
                      <m:t>unc</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ens</m:t>
                            </m:r>
                          </m:sub>
                        </m:sSub>
                      </m:sup>
                      <m:e>
                        <m:sSub>
                          <m:sSubPr>
                            <m:ctrlPr>
                              <w:rPr>
                                <w:rFonts w:ascii="Cambria Math" w:hAnsi="Cambria Math"/>
                                <w:i/>
                              </w:rPr>
                            </m:ctrlPr>
                          </m:sSubPr>
                          <m:e>
                            <m:r>
                              <w:rPr>
                                <w:rFonts w:ascii="Cambria Math" w:hAnsi="Cambria Math"/>
                              </w:rPr>
                              <m:t>LED</m:t>
                            </m:r>
                          </m:e>
                          <m:sub>
                            <m:r>
                              <w:rPr>
                                <w:rFonts w:ascii="Cambria Math" w:hAnsi="Cambria Math"/>
                              </w:rPr>
                              <m:t>h,i</m:t>
                            </m:r>
                          </m:sub>
                        </m:sSub>
                      </m:e>
                    </m:nary>
                  </m:num>
                  <m:den>
                    <m:sSub>
                      <m:sSubPr>
                        <m:ctrlPr>
                          <w:rPr>
                            <w:rFonts w:ascii="Cambria Math" w:hAnsi="Cambria Math"/>
                            <w:i/>
                          </w:rPr>
                        </m:ctrlPr>
                      </m:sSubPr>
                      <m:e>
                        <m:r>
                          <w:rPr>
                            <w:rFonts w:ascii="Cambria Math" w:hAnsi="Cambria Math"/>
                          </w:rPr>
                          <m:t>N</m:t>
                        </m:r>
                      </m:e>
                      <m:sub>
                        <m:r>
                          <w:rPr>
                            <w:rFonts w:ascii="Cambria Math" w:hAnsi="Cambria Math"/>
                          </w:rPr>
                          <m:t>ens</m:t>
                        </m:r>
                      </m:sub>
                    </m:sSub>
                  </m:den>
                </m:f>
              </m:oMath>
            </m:oMathPara>
          </w:p>
          <w:p w14:paraId="6D867AE3" w14:textId="33A3DC29" w:rsidR="009D7A58" w:rsidRPr="009D7A58" w:rsidRDefault="00AA6AA4" w:rsidP="0040432A">
            <w:pPr>
              <w:jc w:val="center"/>
            </w:pPr>
            <m:oMathPara>
              <m:oMath>
                <m:sSub>
                  <m:sSubPr>
                    <m:ctrlPr>
                      <w:rPr>
                        <w:rFonts w:ascii="Cambria Math" w:hAnsi="Cambria Math"/>
                        <w:i/>
                      </w:rPr>
                    </m:ctrlPr>
                  </m:sSubPr>
                  <m:e>
                    <m:r>
                      <w:rPr>
                        <w:rFonts w:ascii="Cambria Math" w:hAnsi="Cambria Math"/>
                      </w:rPr>
                      <m:t>LED</m:t>
                    </m:r>
                  </m:e>
                  <m:sub>
                    <m:r>
                      <w:rPr>
                        <w:rFonts w:ascii="Cambria Math" w:hAnsi="Cambria Math"/>
                      </w:rPr>
                      <m:t>h,i</m:t>
                    </m:r>
                  </m:sub>
                </m:sSub>
                <m:r>
                  <w:rPr>
                    <w:rFonts w:ascii="Cambria Math" w:hAnsi="Cambria Math"/>
                  </w:rPr>
                  <m:t>=</m:t>
                </m:r>
                <m:sSub>
                  <m:sSubPr>
                    <m:ctrlPr>
                      <w:rPr>
                        <w:rFonts w:ascii="Cambria Math" w:hAnsi="Cambria Math"/>
                        <w:i/>
                      </w:rPr>
                    </m:ctrlPr>
                  </m:sSubPr>
                  <m:e>
                    <m:r>
                      <w:rPr>
                        <w:rFonts w:ascii="Cambria Math" w:hAnsi="Cambria Math"/>
                      </w:rPr>
                      <m:t>EAD</m:t>
                    </m:r>
                  </m:e>
                  <m:sub>
                    <m:r>
                      <w:rPr>
                        <w:rFonts w:ascii="Cambria Math" w:hAnsi="Cambria Math"/>
                      </w:rPr>
                      <m:t>h,i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i-1</m:t>
                            </m:r>
                          </m:sup>
                        </m:sSup>
                      </m:den>
                    </m:f>
                  </m:e>
                </m:nary>
              </m:oMath>
            </m:oMathPara>
          </w:p>
          <w:p w14:paraId="14C30FCE" w14:textId="5E78BDE0" w:rsidR="009D7A58" w:rsidRPr="009D7A58" w:rsidRDefault="00AA6AA4" w:rsidP="0040432A">
            <w:pPr>
              <w:jc w:val="center"/>
            </w:pPr>
            <m:oMathPara>
              <m:oMath>
                <m:sSub>
                  <m:sSubPr>
                    <m:ctrlPr>
                      <w:rPr>
                        <w:rFonts w:ascii="Cambria Math" w:hAnsi="Cambria Math"/>
                        <w:i/>
                      </w:rPr>
                    </m:ctrlPr>
                  </m:sSubPr>
                  <m:e>
                    <m:r>
                      <w:rPr>
                        <w:rFonts w:ascii="Cambria Math" w:hAnsi="Cambria Math"/>
                      </w:rPr>
                      <m:t>EAD</m:t>
                    </m:r>
                  </m:e>
                  <m:sub>
                    <m:r>
                      <w:rPr>
                        <w:rFonts w:ascii="Cambria Math" w:hAnsi="Cambria Math"/>
                      </w:rPr>
                      <m:t>h,i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min</m:t>
                        </m:r>
                      </m:sub>
                    </m:sSub>
                  </m:sub>
                  <m:sup>
                    <m:sSub>
                      <m:sSubPr>
                        <m:ctrlPr>
                          <w:rPr>
                            <w:rFonts w:ascii="Cambria Math" w:hAnsi="Cambria Math"/>
                            <w:i/>
                          </w:rPr>
                        </m:ctrlPr>
                      </m:sSubPr>
                      <m:e>
                        <m:r>
                          <w:rPr>
                            <w:rFonts w:ascii="Cambria Math" w:hAnsi="Cambria Math"/>
                          </w:rPr>
                          <m:t>P</m:t>
                        </m:r>
                      </m:e>
                      <m:sub>
                        <m:r>
                          <w:rPr>
                            <w:rFonts w:ascii="Cambria Math" w:hAnsi="Cambria Math"/>
                          </w:rPr>
                          <m:t>max</m:t>
                        </m:r>
                      </m:sub>
                    </m:sSub>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sub>
                        </m:sSub>
                      </m:e>
                    </m:d>
                    <m:r>
                      <w:rPr>
                        <w:rFonts w:ascii="Cambria Math" w:hAnsi="Cambria Math"/>
                      </w:rPr>
                      <m:t xml:space="preserve"> d</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sub>
                    </m:sSub>
                  </m:e>
                </m:nary>
              </m:oMath>
            </m:oMathPara>
          </w:p>
        </w:tc>
      </w:tr>
      <w:tr w:rsidR="00390227" w14:paraId="39FEDB04" w14:textId="77777777" w:rsidTr="0040432A">
        <w:tc>
          <w:tcPr>
            <w:tcW w:w="1568" w:type="pct"/>
            <w:vAlign w:val="center"/>
          </w:tcPr>
          <w:p w14:paraId="1C11D568" w14:textId="650E7156" w:rsidR="00FF3E8F" w:rsidRDefault="00FF3E8F" w:rsidP="0040432A">
            <w:pPr>
              <w:jc w:val="center"/>
            </w:pPr>
            <w:r>
              <w:t>Benefit-to-cost ratio (O</w:t>
            </w:r>
            <w:r w:rsidRPr="00F01333">
              <w:rPr>
                <w:vertAlign w:val="subscript"/>
              </w:rPr>
              <w:t>2</w:t>
            </w:r>
            <w:r>
              <w:t>)</w:t>
            </w:r>
          </w:p>
        </w:tc>
        <w:tc>
          <w:tcPr>
            <w:tcW w:w="1649" w:type="pct"/>
            <w:vAlign w:val="center"/>
          </w:tcPr>
          <w:p w14:paraId="24D6C3EF" w14:textId="77777777" w:rsidR="00FF3E8F" w:rsidRPr="000F1DCA" w:rsidRDefault="00AA6AA4" w:rsidP="0040432A">
            <w:pPr>
              <w:jc w:val="center"/>
            </w:pPr>
            <m:oMathPara>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h</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p w14:paraId="7334AB74" w14:textId="7608DFA6" w:rsidR="000F1DCA" w:rsidRPr="000F1DCA" w:rsidRDefault="00AA6AA4" w:rsidP="0040432A">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LED</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LED</m:t>
                    </m:r>
                  </m:e>
                  <m:sub>
                    <m:r>
                      <w:rPr>
                        <w:rFonts w:ascii="Cambria Math" w:hAnsi="Cambria Math"/>
                      </w:rPr>
                      <m:t>0</m:t>
                    </m:r>
                  </m:sub>
                </m:sSub>
              </m:oMath>
            </m:oMathPara>
          </w:p>
        </w:tc>
        <w:tc>
          <w:tcPr>
            <w:tcW w:w="1783" w:type="pct"/>
            <w:vAlign w:val="center"/>
          </w:tcPr>
          <w:p w14:paraId="5C95B183" w14:textId="2E2E9068" w:rsidR="00FF3E8F" w:rsidRPr="007813D6" w:rsidRDefault="00AA6AA4" w:rsidP="0040432A">
            <w:pPr>
              <w:jc w:val="center"/>
            </w:pPr>
            <m:oMathPara>
              <m:oMath>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2</m:t>
                        </m:r>
                      </m:e>
                      <m:sub>
                        <m:r>
                          <w:rPr>
                            <w:rFonts w:ascii="Cambria Math" w:hAnsi="Cambria Math"/>
                          </w:rPr>
                          <m:t>h</m:t>
                        </m:r>
                      </m:sub>
                    </m:sSub>
                  </m:sub>
                  <m:sup>
                    <m:r>
                      <w:rPr>
                        <w:rFonts w:ascii="Cambria Math" w:hAnsi="Cambria Math"/>
                      </w:rPr>
                      <m:t>unc</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ens</m:t>
                            </m:r>
                          </m:sub>
                        </m:sSub>
                      </m:sup>
                      <m:e>
                        <m:f>
                          <m:fPr>
                            <m:type m:val="skw"/>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h,i</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e>
                    </m:nary>
                  </m:num>
                  <m:den>
                    <m:sSub>
                      <m:sSubPr>
                        <m:ctrlPr>
                          <w:rPr>
                            <w:rFonts w:ascii="Cambria Math" w:hAnsi="Cambria Math"/>
                            <w:i/>
                          </w:rPr>
                        </m:ctrlPr>
                      </m:sSubPr>
                      <m:e>
                        <m:r>
                          <w:rPr>
                            <w:rFonts w:ascii="Cambria Math" w:hAnsi="Cambria Math"/>
                          </w:rPr>
                          <m:t>N</m:t>
                        </m:r>
                      </m:e>
                      <m:sub>
                        <m:r>
                          <w:rPr>
                            <w:rFonts w:ascii="Cambria Math" w:hAnsi="Cambria Math"/>
                          </w:rPr>
                          <m:t>ens</m:t>
                        </m:r>
                      </m:sub>
                    </m:sSub>
                  </m:den>
                </m:f>
              </m:oMath>
            </m:oMathPara>
          </w:p>
          <w:p w14:paraId="432F9599" w14:textId="77777777" w:rsidR="007813D6" w:rsidRPr="000F1DCA" w:rsidRDefault="00AA6AA4" w:rsidP="0040432A">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h,i</m:t>
                    </m:r>
                  </m:sub>
                </m:sSub>
                <m:r>
                  <w:rPr>
                    <w:rFonts w:ascii="Cambria Math" w:hAnsi="Cambria Math"/>
                  </w:rPr>
                  <m:t>=</m:t>
                </m:r>
                <m:sSub>
                  <m:sSubPr>
                    <m:ctrlPr>
                      <w:rPr>
                        <w:rFonts w:ascii="Cambria Math" w:hAnsi="Cambria Math"/>
                        <w:i/>
                      </w:rPr>
                    </m:ctrlPr>
                  </m:sSubPr>
                  <m:e>
                    <m:r>
                      <w:rPr>
                        <w:rFonts w:ascii="Cambria Math" w:hAnsi="Cambria Math"/>
                      </w:rPr>
                      <m:t>LED</m:t>
                    </m:r>
                  </m:e>
                  <m:sub>
                    <m:r>
                      <w:rPr>
                        <w:rFonts w:ascii="Cambria Math" w:hAnsi="Cambria Math"/>
                      </w:rPr>
                      <m:t>h,i</m:t>
                    </m:r>
                  </m:sub>
                </m:sSub>
                <m:r>
                  <w:rPr>
                    <w:rFonts w:ascii="Cambria Math" w:hAnsi="Cambria Math"/>
                  </w:rPr>
                  <m:t>-</m:t>
                </m:r>
                <m:sSub>
                  <m:sSubPr>
                    <m:ctrlPr>
                      <w:rPr>
                        <w:rFonts w:ascii="Cambria Math" w:hAnsi="Cambria Math"/>
                        <w:i/>
                      </w:rPr>
                    </m:ctrlPr>
                  </m:sSubPr>
                  <m:e>
                    <m:r>
                      <w:rPr>
                        <w:rFonts w:ascii="Cambria Math" w:hAnsi="Cambria Math"/>
                      </w:rPr>
                      <m:t>LED</m:t>
                    </m:r>
                  </m:e>
                  <m:sub>
                    <m:r>
                      <w:rPr>
                        <w:rFonts w:ascii="Cambria Math" w:hAnsi="Cambria Math"/>
                      </w:rPr>
                      <m:t>0,i</m:t>
                    </m:r>
                  </m:sub>
                </m:sSub>
              </m:oMath>
            </m:oMathPara>
          </w:p>
          <w:p w14:paraId="5C68E1E0" w14:textId="3AEFA0B1" w:rsidR="000F1DCA" w:rsidRDefault="00AA6AA4" w:rsidP="0040432A">
            <w:pPr>
              <w:jc w:val="center"/>
            </w:pPr>
            <m:oMathPara>
              <m:oMath>
                <m:sSub>
                  <m:sSubPr>
                    <m:ctrlPr>
                      <w:rPr>
                        <w:rFonts w:ascii="Cambria Math" w:hAnsi="Cambria Math"/>
                        <w:i/>
                      </w:rPr>
                    </m:ctrlPr>
                  </m:sSubPr>
                  <m:e>
                    <m:r>
                      <w:rPr>
                        <w:rFonts w:ascii="Cambria Math" w:hAnsi="Cambria Math"/>
                      </w:rPr>
                      <m:t>LED</m:t>
                    </m:r>
                  </m:e>
                  <m:sub>
                    <m:r>
                      <w:rPr>
                        <w:rFonts w:ascii="Cambria Math" w:hAnsi="Cambria Math"/>
                      </w:rPr>
                      <m:t>h,i</m:t>
                    </m:r>
                  </m:sub>
                </m:sSub>
                <m:r>
                  <w:rPr>
                    <w:rFonts w:ascii="Cambria Math" w:hAnsi="Cambria Math"/>
                  </w:rPr>
                  <m:t>=</m:t>
                </m:r>
                <m:sSub>
                  <m:sSubPr>
                    <m:ctrlPr>
                      <w:rPr>
                        <w:rFonts w:ascii="Cambria Math" w:hAnsi="Cambria Math"/>
                        <w:i/>
                      </w:rPr>
                    </m:ctrlPr>
                  </m:sSubPr>
                  <m:e>
                    <m:r>
                      <w:rPr>
                        <w:rFonts w:ascii="Cambria Math" w:hAnsi="Cambria Math"/>
                      </w:rPr>
                      <m:t>EAD</m:t>
                    </m:r>
                  </m:e>
                  <m:sub>
                    <m:r>
                      <w:rPr>
                        <w:rFonts w:ascii="Cambria Math" w:hAnsi="Cambria Math"/>
                      </w:rPr>
                      <m:t>h,i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i-1</m:t>
                            </m:r>
                          </m:sup>
                        </m:sSup>
                      </m:den>
                    </m:f>
                  </m:e>
                </m:nary>
              </m:oMath>
            </m:oMathPara>
          </w:p>
        </w:tc>
      </w:tr>
      <w:tr w:rsidR="00390227" w14:paraId="176AD9CD" w14:textId="77777777" w:rsidTr="0040432A">
        <w:tc>
          <w:tcPr>
            <w:tcW w:w="1568" w:type="pct"/>
            <w:vAlign w:val="center"/>
          </w:tcPr>
          <w:p w14:paraId="0124F9E8" w14:textId="5DAC2EE5" w:rsidR="00FF3E8F" w:rsidRDefault="00FF3E8F" w:rsidP="0040432A">
            <w:pPr>
              <w:jc w:val="center"/>
            </w:pPr>
            <w:r>
              <w:t>Upfront cost to house value (O</w:t>
            </w:r>
            <w:r w:rsidRPr="00F01333">
              <w:rPr>
                <w:vertAlign w:val="subscript"/>
              </w:rPr>
              <w:t>3</w:t>
            </w:r>
            <w:r>
              <w:t>)</w:t>
            </w:r>
          </w:p>
        </w:tc>
        <w:tc>
          <w:tcPr>
            <w:tcW w:w="1649" w:type="pct"/>
            <w:vAlign w:val="center"/>
          </w:tcPr>
          <w:p w14:paraId="0293D768" w14:textId="5B8273B5" w:rsidR="00FF3E8F" w:rsidRDefault="00AA6AA4" w:rsidP="0040432A">
            <w:pPr>
              <w:jc w:val="center"/>
            </w:pPr>
            <m:oMathPara>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3</m:t>
                        </m:r>
                      </m:e>
                      <m:sub>
                        <m:r>
                          <w:rPr>
                            <w:rFonts w:ascii="Cambria Math" w:hAnsi="Cambria Math"/>
                          </w:rPr>
                          <m:t>h</m:t>
                        </m:r>
                      </m:sub>
                    </m:sSub>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h</m:t>
                        </m:r>
                      </m:sub>
                    </m:sSub>
                  </m:num>
                  <m:den>
                    <m:r>
                      <w:rPr>
                        <w:rFonts w:ascii="Cambria Math" w:hAnsi="Cambria Math"/>
                      </w:rPr>
                      <m:t>V</m:t>
                    </m:r>
                  </m:den>
                </m:f>
              </m:oMath>
            </m:oMathPara>
          </w:p>
        </w:tc>
        <w:tc>
          <w:tcPr>
            <w:tcW w:w="1783" w:type="pct"/>
            <w:vAlign w:val="center"/>
          </w:tcPr>
          <w:p w14:paraId="05B246DD" w14:textId="21E56BA9" w:rsidR="00FF3E8F" w:rsidRDefault="00AA6AA4" w:rsidP="0040432A">
            <w:pPr>
              <w:jc w:val="center"/>
            </w:pPr>
            <m:oMathPara>
              <m:oMath>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3</m:t>
                        </m:r>
                      </m:e>
                      <m:sub>
                        <m:r>
                          <w:rPr>
                            <w:rFonts w:ascii="Cambria Math" w:hAnsi="Cambria Math"/>
                          </w:rPr>
                          <m:t>h</m:t>
                        </m:r>
                      </m:sub>
                    </m:sSub>
                  </m:sub>
                  <m:sup>
                    <m:r>
                      <w:rPr>
                        <w:rFonts w:ascii="Cambria Math" w:hAnsi="Cambria Math"/>
                      </w:rPr>
                      <m:t>unc</m:t>
                    </m:r>
                  </m:sup>
                </m:sSubSup>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h</m:t>
                        </m:r>
                      </m:sub>
                    </m:sSub>
                  </m:num>
                  <m:den>
                    <m:r>
                      <w:rPr>
                        <w:rFonts w:ascii="Cambria Math" w:hAnsi="Cambria Math"/>
                      </w:rPr>
                      <m:t>V</m:t>
                    </m:r>
                  </m:den>
                </m:f>
              </m:oMath>
            </m:oMathPara>
          </w:p>
        </w:tc>
      </w:tr>
      <w:tr w:rsidR="00390227" w14:paraId="5866F6A3" w14:textId="77777777" w:rsidTr="0040432A">
        <w:tc>
          <w:tcPr>
            <w:tcW w:w="1568" w:type="pct"/>
            <w:vAlign w:val="center"/>
          </w:tcPr>
          <w:p w14:paraId="7932485D" w14:textId="7C530DFA" w:rsidR="00FF3E8F" w:rsidRDefault="00FF3E8F" w:rsidP="0040432A">
            <w:pPr>
              <w:jc w:val="center"/>
            </w:pPr>
            <w:r>
              <w:t>Safety (O</w:t>
            </w:r>
            <w:r w:rsidRPr="00F01333">
              <w:rPr>
                <w:vertAlign w:val="subscript"/>
              </w:rPr>
              <w:t>4</w:t>
            </w:r>
            <w:r>
              <w:t>)</w:t>
            </w:r>
          </w:p>
        </w:tc>
        <w:tc>
          <w:tcPr>
            <w:tcW w:w="1649" w:type="pct"/>
            <w:vAlign w:val="center"/>
          </w:tcPr>
          <w:p w14:paraId="190F0F26" w14:textId="0CF10B00" w:rsidR="00FF3E8F" w:rsidRDefault="00AA6AA4" w:rsidP="0040432A">
            <w:pPr>
              <w:jc w:val="center"/>
            </w:pPr>
            <m:oMathPara>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4</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 xml:space="preserve">X≤h | </m:t>
                            </m:r>
                            <m:acc>
                              <m:accPr>
                                <m:chr m:val="̅"/>
                                <m:ctrlPr>
                                  <w:rPr>
                                    <w:rFonts w:ascii="Cambria Math" w:hAnsi="Cambria Math"/>
                                    <w:i/>
                                  </w:rPr>
                                </m:ctrlPr>
                              </m:accPr>
                              <m:e>
                                <m:r>
                                  <w:rPr>
                                    <w:rFonts w:ascii="Cambria Math" w:hAnsi="Cambria Math"/>
                                  </w:rPr>
                                  <m:t>μ</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ξ</m:t>
                                </m:r>
                              </m:e>
                            </m:acc>
                          </m:e>
                        </m:d>
                      </m:e>
                    </m:func>
                  </m:e>
                </m:nary>
              </m:oMath>
            </m:oMathPara>
          </w:p>
        </w:tc>
        <w:tc>
          <w:tcPr>
            <w:tcW w:w="1783" w:type="pct"/>
            <w:vAlign w:val="center"/>
          </w:tcPr>
          <w:p w14:paraId="28D6CD82" w14:textId="2B7749B2" w:rsidR="00FF3E8F" w:rsidRDefault="00AA6AA4" w:rsidP="0040432A">
            <w:pPr>
              <w:jc w:val="center"/>
            </w:pPr>
            <m:oMathPara>
              <m:oMath>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4</m:t>
                        </m:r>
                      </m:e>
                      <m:sub>
                        <m:r>
                          <w:rPr>
                            <w:rFonts w:ascii="Cambria Math" w:hAnsi="Cambria Math"/>
                          </w:rPr>
                          <m:t>h</m:t>
                        </m:r>
                      </m:sub>
                    </m:sSub>
                  </m:sub>
                  <m:sup>
                    <m:r>
                      <w:rPr>
                        <w:rFonts w:ascii="Cambria Math" w:hAnsi="Cambria Math"/>
                      </w:rPr>
                      <m:t>unc</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ens</m:t>
                            </m:r>
                          </m:sub>
                        </m:s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e>
                                </m:d>
                              </m:e>
                            </m:func>
                          </m:e>
                        </m:nary>
                      </m:e>
                    </m:nary>
                  </m:num>
                  <m:den>
                    <m:sSub>
                      <m:sSubPr>
                        <m:ctrlPr>
                          <w:rPr>
                            <w:rFonts w:ascii="Cambria Math" w:hAnsi="Cambria Math"/>
                            <w:i/>
                          </w:rPr>
                        </m:ctrlPr>
                      </m:sSubPr>
                      <m:e>
                        <m:r>
                          <w:rPr>
                            <w:rFonts w:ascii="Cambria Math" w:hAnsi="Cambria Math"/>
                          </w:rPr>
                          <m:t>N</m:t>
                        </m:r>
                      </m:e>
                      <m:sub>
                        <m:r>
                          <w:rPr>
                            <w:rFonts w:ascii="Cambria Math" w:hAnsi="Cambria Math"/>
                          </w:rPr>
                          <m:t>ens</m:t>
                        </m:r>
                      </m:sub>
                    </m:sSub>
                  </m:den>
                </m:f>
              </m:oMath>
            </m:oMathPara>
          </w:p>
        </w:tc>
      </w:tr>
    </w:tbl>
    <w:p w14:paraId="1C637CF5" w14:textId="77777777" w:rsidR="00DF23B5" w:rsidRDefault="00DF23B5" w:rsidP="006B4FEF">
      <w:pPr>
        <w:sectPr w:rsidR="00DF23B5" w:rsidSect="00DF23B5">
          <w:pgSz w:w="15840" w:h="12240" w:orient="landscape"/>
          <w:pgMar w:top="1440" w:right="1440" w:bottom="1440" w:left="1440" w:header="720" w:footer="720" w:gutter="0"/>
          <w:cols w:space="720"/>
          <w:docGrid w:linePitch="360"/>
        </w:sectPr>
      </w:pPr>
    </w:p>
    <w:p w14:paraId="7FACE318" w14:textId="75B78483" w:rsidR="006B4FEF" w:rsidRDefault="006B4FEF" w:rsidP="006B4FEF"/>
    <w:p w14:paraId="17A5EEF8" w14:textId="651D7164" w:rsidR="006B4FEF" w:rsidRDefault="006B4FEF" w:rsidP="006B4FEF">
      <w:pPr>
        <w:pStyle w:val="Heading2"/>
      </w:pPr>
      <w:r>
        <w:t>Optimal height calculation with(out) uncertainty quantification</w:t>
      </w:r>
    </w:p>
    <w:p w14:paraId="3593EF02" w14:textId="43DA6F24" w:rsidR="003D4B60" w:rsidRDefault="003D4B60" w:rsidP="003D4B60">
      <w:r>
        <w:t xml:space="preserve">Equations 8 and 9 indicate how we calculate the optimal elevation. </w:t>
      </w:r>
    </w:p>
    <w:tbl>
      <w:tblPr>
        <w:tblStyle w:val="TableGrid"/>
        <w:tblW w:w="0" w:type="auto"/>
        <w:tblLook w:val="04A0" w:firstRow="1" w:lastRow="0" w:firstColumn="1" w:lastColumn="0" w:noHBand="0" w:noVBand="1"/>
      </w:tblPr>
      <w:tblGrid>
        <w:gridCol w:w="8854"/>
        <w:gridCol w:w="496"/>
      </w:tblGrid>
      <w:tr w:rsidR="00F02451" w14:paraId="5E66B549" w14:textId="77777777" w:rsidTr="00AA6AA4">
        <w:tc>
          <w:tcPr>
            <w:tcW w:w="8995" w:type="dxa"/>
            <w:vAlign w:val="center"/>
          </w:tcPr>
          <w:p w14:paraId="17D4A6B2" w14:textId="2B6A1911" w:rsidR="00F02451" w:rsidRDefault="00AA6AA4" w:rsidP="00AA6AA4">
            <w:pPr>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opt</m:t>
                        </m:r>
                      </m:sub>
                    </m:sSub>
                    <m:r>
                      <w:rPr>
                        <w:rFonts w:ascii="Cambria Math" w:hAnsi="Cambria Math"/>
                      </w:rPr>
                      <m:t>=</m:t>
                    </m:r>
                    <m:sSub>
                      <m:sSubPr>
                        <m:ctrlPr>
                          <w:rPr>
                            <w:rFonts w:ascii="Cambria Math" w:hAnsi="Cambria Math"/>
                            <w:i/>
                          </w:rPr>
                        </m:ctrlPr>
                      </m:sSubPr>
                      <m:e>
                        <m:r>
                          <w:rPr>
                            <w:rFonts w:ascii="Cambria Math" w:hAnsi="Cambria Math"/>
                          </w:rPr>
                          <m:t>Arg Max</m:t>
                        </m:r>
                      </m:e>
                      <m:sub>
                        <m:r>
                          <w:rPr>
                            <w:rFonts w:ascii="Cambria Math" w:hAnsi="Cambria Math"/>
                          </w:rPr>
                          <m:t>h∈[0,14]</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+LED</m:t>
                    </m:r>
                  </m:e>
                  <m:sub>
                    <m:r>
                      <w:rPr>
                        <w:rFonts w:ascii="Cambria Math" w:hAnsi="Cambria Math"/>
                      </w:rPr>
                      <m:t>h</m:t>
                    </m:r>
                  </m:sub>
                </m:sSub>
                <m:r>
                  <w:rPr>
                    <w:rFonts w:ascii="Cambria Math" w:hAnsi="Cambria Math"/>
                  </w:rPr>
                  <m:t>)</m:t>
                </m:r>
              </m:oMath>
            </m:oMathPara>
          </w:p>
        </w:tc>
        <w:tc>
          <w:tcPr>
            <w:tcW w:w="355" w:type="dxa"/>
            <w:vAlign w:val="center"/>
          </w:tcPr>
          <w:p w14:paraId="540BA932" w14:textId="4EBF14DA" w:rsidR="00F02451" w:rsidRDefault="00F02451" w:rsidP="00AA6AA4">
            <w:pPr>
              <w:jc w:val="center"/>
            </w:pPr>
            <w:r>
              <w:t>(</w:t>
            </w:r>
            <w:r w:rsidR="00D00541">
              <w:t>8</w:t>
            </w:r>
            <w:r>
              <w:t>)</w:t>
            </w:r>
          </w:p>
        </w:tc>
      </w:tr>
      <w:tr w:rsidR="00B42676" w14:paraId="2FE52E5F" w14:textId="77777777" w:rsidTr="00AA6AA4">
        <w:tc>
          <w:tcPr>
            <w:tcW w:w="8995" w:type="dxa"/>
            <w:vAlign w:val="center"/>
          </w:tcPr>
          <w:p w14:paraId="20313162" w14:textId="0AFD2738" w:rsidR="00B42676" w:rsidRDefault="00AA6AA4" w:rsidP="00AA6AA4">
            <w:pPr>
              <w:jc w:val="cente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h</m:t>
                        </m:r>
                      </m:e>
                      <m:sub>
                        <m:r>
                          <w:rPr>
                            <w:rFonts w:ascii="Cambria Math" w:hAnsi="Cambria Math"/>
                          </w:rPr>
                          <m:t>opt</m:t>
                        </m:r>
                      </m:sub>
                      <m:sup>
                        <m:r>
                          <w:rPr>
                            <w:rFonts w:ascii="Cambria Math" w:hAnsi="Cambria Math"/>
                          </w:rPr>
                          <m:t>unc</m:t>
                        </m:r>
                      </m:sup>
                    </m:sSubSup>
                    <m:r>
                      <w:rPr>
                        <w:rFonts w:ascii="Cambria Math" w:hAnsi="Cambria Math"/>
                      </w:rPr>
                      <m:t>=</m:t>
                    </m:r>
                    <m:sSub>
                      <m:sSubPr>
                        <m:ctrlPr>
                          <w:rPr>
                            <w:rFonts w:ascii="Cambria Math" w:hAnsi="Cambria Math"/>
                            <w:i/>
                          </w:rPr>
                        </m:ctrlPr>
                      </m:sSubPr>
                      <m:e>
                        <m:r>
                          <w:rPr>
                            <w:rFonts w:ascii="Cambria Math" w:hAnsi="Cambria Math"/>
                          </w:rPr>
                          <m:t>Arg Max</m:t>
                        </m:r>
                      </m:e>
                      <m:sub>
                        <m:r>
                          <w:rPr>
                            <w:rFonts w:ascii="Cambria Math" w:hAnsi="Cambria Math"/>
                          </w:rPr>
                          <m:t>h∈[0,14]</m:t>
                        </m:r>
                      </m:sub>
                    </m:sSub>
                    <m:r>
                      <w:rPr>
                        <w:rFonts w:ascii="Cambria Math" w:hAnsi="Cambria Math"/>
                      </w:rPr>
                      <m:t>(C</m:t>
                    </m:r>
                  </m:e>
                  <m:sub>
                    <m:r>
                      <w:rPr>
                        <w:rFonts w:ascii="Cambria Math" w:hAnsi="Cambria Math"/>
                      </w:rPr>
                      <m:t>h</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ens</m:t>
                            </m:r>
                          </m:sub>
                        </m:sSub>
                      </m:sup>
                      <m:e>
                        <m:sSub>
                          <m:sSubPr>
                            <m:ctrlPr>
                              <w:rPr>
                                <w:rFonts w:ascii="Cambria Math" w:hAnsi="Cambria Math"/>
                                <w:i/>
                              </w:rPr>
                            </m:ctrlPr>
                          </m:sSubPr>
                          <m:e>
                            <m:r>
                              <w:rPr>
                                <w:rFonts w:ascii="Cambria Math" w:hAnsi="Cambria Math"/>
                              </w:rPr>
                              <m:t>LED</m:t>
                            </m:r>
                          </m:e>
                          <m:sub>
                            <m:r>
                              <w:rPr>
                                <w:rFonts w:ascii="Cambria Math" w:hAnsi="Cambria Math"/>
                              </w:rPr>
                              <m:t>h,i</m:t>
                            </m:r>
                          </m:sub>
                        </m:sSub>
                      </m:e>
                    </m:nary>
                  </m:num>
                  <m:den>
                    <m:sSub>
                      <m:sSubPr>
                        <m:ctrlPr>
                          <w:rPr>
                            <w:rFonts w:ascii="Cambria Math" w:hAnsi="Cambria Math"/>
                            <w:i/>
                          </w:rPr>
                        </m:ctrlPr>
                      </m:sSubPr>
                      <m:e>
                        <m:r>
                          <w:rPr>
                            <w:rFonts w:ascii="Cambria Math" w:hAnsi="Cambria Math"/>
                          </w:rPr>
                          <m:t>N</m:t>
                        </m:r>
                      </m:e>
                      <m:sub>
                        <m:r>
                          <w:rPr>
                            <w:rFonts w:ascii="Cambria Math" w:hAnsi="Cambria Math"/>
                          </w:rPr>
                          <m:t>ens</m:t>
                        </m:r>
                      </m:sub>
                    </m:sSub>
                  </m:den>
                </m:f>
                <m:r>
                  <w:rPr>
                    <w:rFonts w:ascii="Cambria Math" w:hAnsi="Cambria Math"/>
                  </w:rPr>
                  <m:t>)</m:t>
                </m:r>
              </m:oMath>
            </m:oMathPara>
          </w:p>
        </w:tc>
        <w:tc>
          <w:tcPr>
            <w:tcW w:w="355" w:type="dxa"/>
            <w:vAlign w:val="center"/>
          </w:tcPr>
          <w:p w14:paraId="1A404D60" w14:textId="1192A83E" w:rsidR="00B42676" w:rsidRDefault="00B42676" w:rsidP="00AA6AA4">
            <w:pPr>
              <w:jc w:val="center"/>
            </w:pPr>
            <w:r>
              <w:t>(</w:t>
            </w:r>
            <w:r w:rsidR="00D00541">
              <w:t>9</w:t>
            </w:r>
            <w:r>
              <w:t>)</w:t>
            </w:r>
          </w:p>
        </w:tc>
      </w:tr>
    </w:tbl>
    <w:p w14:paraId="3857542C" w14:textId="77777777" w:rsidR="00F02451" w:rsidRDefault="00F02451" w:rsidP="00F02451"/>
    <w:p w14:paraId="0AA14F77" w14:textId="3FA05F05" w:rsidR="006200B5" w:rsidRDefault="00DA0D98" w:rsidP="00DA0D98">
      <w:pPr>
        <w:pStyle w:val="Heading1"/>
      </w:pPr>
      <w:r>
        <w:t>Results</w:t>
      </w:r>
    </w:p>
    <w:p w14:paraId="066A0C06" w14:textId="0D1AC37D" w:rsidR="00D00541" w:rsidRDefault="00AA6AA4" w:rsidP="00D00541">
      <w:r>
        <w:t xml:space="preserve">We </w:t>
      </w:r>
      <w:r w:rsidR="00D00541">
        <w:t xml:space="preserve">demonstrate the effects of uncertainty quantification on the decision of </w:t>
      </w:r>
      <w:r>
        <w:t>house elevation via</w:t>
      </w:r>
      <w:r w:rsidR="00D00541">
        <w:t xml:space="preserve"> a</w:t>
      </w:r>
      <w:r>
        <w:t xml:space="preserve"> </w:t>
      </w:r>
      <w:r w:rsidR="00D00541">
        <w:t>riverine community in Selinsgrove located in central Pennsylvania. In this section, we will present an overview of this community</w:t>
      </w:r>
      <w:r w:rsidR="00AD46DD">
        <w:t>.</w:t>
      </w:r>
      <w:r w:rsidR="00D00541">
        <w:t xml:space="preserve"> </w:t>
      </w:r>
      <w:r w:rsidR="00AD46DD">
        <w:t>T</w:t>
      </w:r>
      <w:r w:rsidR="00D00541">
        <w:t>hen</w:t>
      </w:r>
      <w:r w:rsidR="00AD46DD">
        <w:t>,</w:t>
      </w:r>
      <w:r w:rsidR="00D00541">
        <w:t xml:space="preserve"> we will </w:t>
      </w:r>
      <w:r w:rsidR="00AD46DD">
        <w:t>exhibit and discuss</w:t>
      </w:r>
      <w:r w:rsidR="00D00541">
        <w:t xml:space="preserve"> the optimal elevation </w:t>
      </w:r>
      <w:r w:rsidR="00AD46DD">
        <w:t>with and without</w:t>
      </w:r>
      <w:r w:rsidR="00D00541">
        <w:t xml:space="preserve"> uncertainty</w:t>
      </w:r>
      <w:r w:rsidR="00AD46DD">
        <w:t xml:space="preserve"> quantification</w:t>
      </w:r>
      <w:r w:rsidR="00D00541">
        <w:t xml:space="preserve">. </w:t>
      </w:r>
    </w:p>
    <w:p w14:paraId="6154BECD" w14:textId="286B83B5" w:rsidR="00DA0D98" w:rsidRPr="007463D4" w:rsidRDefault="0022198C" w:rsidP="00DA0D98">
      <w:pPr>
        <w:pStyle w:val="Heading2"/>
        <w:rPr>
          <w:sz w:val="48"/>
          <w:szCs w:val="48"/>
        </w:rPr>
      </w:pPr>
      <w:r>
        <w:t>S</w:t>
      </w:r>
      <w:r w:rsidR="00DA0D98" w:rsidRPr="007463D4">
        <w:t xml:space="preserve">tudy </w:t>
      </w:r>
      <w:r>
        <w:t xml:space="preserve">area </w:t>
      </w:r>
      <w:r w:rsidR="00DA0D98">
        <w:t xml:space="preserve">and data </w:t>
      </w:r>
    </w:p>
    <w:p w14:paraId="78CE247A" w14:textId="5AEBEF55" w:rsidR="00DA0D98" w:rsidRPr="00182675" w:rsidRDefault="00DA0D98" w:rsidP="00DA0D98">
      <w:pPr>
        <w:rPr>
          <w:rFonts w:cs="Times New Roman"/>
        </w:rPr>
      </w:pPr>
      <w:r w:rsidRPr="007463D4">
        <w:t>The closest USGS gage to the community of Selinsgrove is USGS gage 01554000 collecting water data at Susquehanna River at Sunbury, Pennsylvania. The latitude and longitude of the gage are 40</w:t>
      </w:r>
      <w:r w:rsidR="007E0249">
        <w:sym w:font="Symbol" w:char="F0B0"/>
      </w:r>
      <w:r w:rsidRPr="007463D4">
        <w:t xml:space="preserve"> 50</w:t>
      </w:r>
      <w:r w:rsidR="007E0249">
        <w:sym w:font="Symbol" w:char="F0A2"/>
      </w:r>
      <w:r w:rsidRPr="007463D4">
        <w:t xml:space="preserve"> 04</w:t>
      </w:r>
      <w:r w:rsidR="007E0249">
        <w:sym w:font="Symbol" w:char="F0B2"/>
      </w:r>
      <w:r w:rsidRPr="007463D4">
        <w:t xml:space="preserve"> and 76</w:t>
      </w:r>
      <w:r w:rsidR="007E0249">
        <w:sym w:font="Symbol" w:char="F0B0"/>
      </w:r>
      <w:r w:rsidRPr="007463D4">
        <w:t xml:space="preserve"> 49</w:t>
      </w:r>
      <w:r w:rsidR="007E0249">
        <w:sym w:font="Symbol" w:char="F0A2"/>
      </w:r>
      <w:r w:rsidRPr="007463D4">
        <w:t xml:space="preserve"> 37</w:t>
      </w:r>
      <w:r w:rsidR="007E0249">
        <w:sym w:font="Symbol" w:char="F0B2"/>
      </w:r>
      <w:r w:rsidR="00D303A3">
        <w:t xml:space="preserve">, respectively </w:t>
      </w:r>
      <w:r w:rsidRPr="007463D4">
        <w:t>and the drainage area is 18,300</w:t>
      </w:r>
      <w:r w:rsidR="0033253F">
        <w:t xml:space="preserve"> (mi</w:t>
      </w:r>
      <w:r w:rsidR="0033253F" w:rsidRPr="0033253F">
        <w:rPr>
          <w:vertAlign w:val="superscript"/>
        </w:rPr>
        <w:t>2</w:t>
      </w:r>
      <w:r w:rsidR="0033253F">
        <w:t>)</w:t>
      </w:r>
      <w:r w:rsidR="00D303A3">
        <w:t>. T</w:t>
      </w:r>
      <w:r w:rsidRPr="007463D4">
        <w:t xml:space="preserve">he gage datum is at 408.61 feet above NGVD29. Daily discharge data at this location are available for the period of 1937 to 2019 but daily gage height data are limited to 2000-2019. Therefore, in order to take advantage of the rather long record of discharge data, the stage-discharge rating curve for this location was used to convert discharge to gage height. </w:t>
      </w:r>
    </w:p>
    <w:p w14:paraId="175A625F" w14:textId="70FA3D7C" w:rsidR="00DA0D98" w:rsidRPr="007463D4" w:rsidRDefault="00DA0D98" w:rsidP="00DA0D98">
      <w:pPr>
        <w:pStyle w:val="Heading2"/>
        <w:rPr>
          <w:sz w:val="36"/>
          <w:szCs w:val="36"/>
        </w:rPr>
      </w:pPr>
      <w:r w:rsidRPr="0094758E">
        <w:t>Flood</w:t>
      </w:r>
      <w:r w:rsidRPr="007463D4">
        <w:t xml:space="preserve"> frequency </w:t>
      </w:r>
      <w:r w:rsidR="001F24BA">
        <w:t>and expected damages under</w:t>
      </w:r>
      <w:r w:rsidR="00182675">
        <w:t xml:space="preserve"> uncertainty</w:t>
      </w:r>
    </w:p>
    <w:p w14:paraId="017C8858" w14:textId="21219A5D" w:rsidR="00DA0D98" w:rsidRDefault="00886575" w:rsidP="00DA0D98">
      <w:r>
        <w:t>R</w:t>
      </w:r>
      <w:r w:rsidR="00C03915">
        <w:t xml:space="preserve">eturn levels </w:t>
      </w:r>
      <w:r>
        <w:t xml:space="preserve">of water depth </w:t>
      </w:r>
      <w:r w:rsidR="00C03915">
        <w:t xml:space="preserve">are estimated under two scenarios of neglecting uncertainty and considering uncertainty. For both </w:t>
      </w:r>
      <w:r w:rsidR="006A1045">
        <w:t>cases,</w:t>
      </w:r>
      <w:r w:rsidR="00554D87">
        <w:t xml:space="preserve"> </w:t>
      </w:r>
      <w:r>
        <w:t xml:space="preserve">MCMC is used to estimate the parameters. </w:t>
      </w:r>
      <w:r w:rsidR="00554D87">
        <w:t xml:space="preserve">For the neglecting uncertainty scenario, the mode </w:t>
      </w:r>
      <w:r>
        <w:t xml:space="preserve">(maximum likelihood) </w:t>
      </w:r>
      <w:r w:rsidR="00554D87">
        <w:t xml:space="preserve">of </w:t>
      </w:r>
      <w:r>
        <w:t>the MCMC</w:t>
      </w:r>
      <w:r w:rsidR="00554D87">
        <w:t xml:space="preserve"> distribution is adopted </w:t>
      </w:r>
      <w:r>
        <w:t>while</w:t>
      </w:r>
      <w:r w:rsidR="00554D87">
        <w:t xml:space="preserve"> for the considering </w:t>
      </w:r>
      <w:r w:rsidR="001F24BA">
        <w:t>uncertainty</w:t>
      </w:r>
      <w:r w:rsidR="00554D87">
        <w:t xml:space="preserve"> scenario, </w:t>
      </w:r>
      <w:r w:rsidR="00DD6922">
        <w:t xml:space="preserve">all parameter sets in the last 10,000 iterations are used. The expected value (mean) and 90% confidence intervals of the return levels </w:t>
      </w:r>
      <w:r w:rsidR="00DD6922">
        <w:lastRenderedPageBreak/>
        <w:t>under uncertainty for Selinsgrove, PA is shown in figure 4 by red. The ignoring-uncertainty return levels are shown in blue. F</w:t>
      </w:r>
      <w:r w:rsidR="006848DF">
        <w:t xml:space="preserve">or a specific return period (100-year, for example), considering uncertainty leads to higher </w:t>
      </w:r>
      <w:r w:rsidR="00DD6922">
        <w:t>return</w:t>
      </w:r>
      <w:r w:rsidR="006848DF">
        <w:t xml:space="preserve"> levels than the ignoring uncertainty scenario. </w:t>
      </w:r>
      <w:r w:rsidR="001F24BA">
        <w:t xml:space="preserve">In the following paragraphs we show that this increase in the water level leads to higher expected damages. </w:t>
      </w:r>
    </w:p>
    <w:p w14:paraId="0DA851CE" w14:textId="06109CB4" w:rsidR="00182675" w:rsidRDefault="00182675" w:rsidP="00DD6922">
      <w:pPr>
        <w:jc w:val="center"/>
      </w:pPr>
      <w:r>
        <w:rPr>
          <w:noProof/>
        </w:rPr>
        <w:drawing>
          <wp:inline distT="0" distB="0" distL="0" distR="0" wp14:anchorId="37800385" wp14:editId="38F76C1D">
            <wp:extent cx="35941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turn_Level_plot_frq_bayes.pdf"/>
                    <pic:cNvPicPr/>
                  </pic:nvPicPr>
                  <pic:blipFill>
                    <a:blip r:embed="rId19">
                      <a:extLst>
                        <a:ext uri="{28A0092B-C50C-407E-A947-70E740481C1C}">
                          <a14:useLocalDpi xmlns:a14="http://schemas.microsoft.com/office/drawing/2010/main" val="0"/>
                        </a:ext>
                      </a:extLst>
                    </a:blip>
                    <a:stretch>
                      <a:fillRect/>
                    </a:stretch>
                  </pic:blipFill>
                  <pic:spPr>
                    <a:xfrm>
                      <a:off x="0" y="0"/>
                      <a:ext cx="3594100" cy="2209800"/>
                    </a:xfrm>
                    <a:prstGeom prst="rect">
                      <a:avLst/>
                    </a:prstGeom>
                  </pic:spPr>
                </pic:pic>
              </a:graphicData>
            </a:graphic>
          </wp:inline>
        </w:drawing>
      </w:r>
    </w:p>
    <w:p w14:paraId="6B26D1CD" w14:textId="212BB389" w:rsidR="001F24BA" w:rsidRDefault="00D82386" w:rsidP="00DD6922">
      <w:pPr>
        <w:pStyle w:val="NoSpacing"/>
      </w:pPr>
      <w:r>
        <w:t xml:space="preserve">Figure 4: Flooding frequency analysis for two scenarios: 1. Neglecting uncertainty (red line) and 2. Considering uncertainty (blue line and bounds). The uncertainty is indicated by the bounds and the </w:t>
      </w:r>
      <w:r w:rsidR="0066703F">
        <w:t>expected</w:t>
      </w:r>
      <w:r>
        <w:t xml:space="preserve"> water level is indicated by the blue line. </w:t>
      </w:r>
    </w:p>
    <w:p w14:paraId="2B9C2396" w14:textId="329C38E6" w:rsidR="001F24BA" w:rsidRDefault="00E47192" w:rsidP="00E47192">
      <w:r>
        <w:t xml:space="preserve">Considering uncertainty increases the return level estimates which in turn increases the expected damages. This is demonstrated through figure 5. </w:t>
      </w:r>
      <w:r w:rsidR="00F8562B">
        <w:t>As shown in panel b, the expected exceedance probability (i.e. the probability that the water level exceeds the house living elevation</w:t>
      </w:r>
      <w:r w:rsidR="00711553">
        <w:t xml:space="preserve">; </w:t>
      </w:r>
      <w:r w:rsidR="00F8562B">
        <w:t xml:space="preserve">shown </w:t>
      </w:r>
      <w:r w:rsidR="00711553">
        <w:t xml:space="preserve">by </w:t>
      </w:r>
      <w:r w:rsidR="00F8562B">
        <w:t>a red line</w:t>
      </w:r>
      <w:r w:rsidR="00711553">
        <w:t>)</w:t>
      </w:r>
      <w:r w:rsidR="00F8562B">
        <w:t xml:space="preserve"> is higher than the best-guess </w:t>
      </w:r>
      <w:r w:rsidR="00711553">
        <w:t xml:space="preserve">estimation of exceedance probability. When this exceedance probability is multiplied by the fixed depth-damage function (as shown in panel c), </w:t>
      </w:r>
      <w:r w:rsidR="00D1554C">
        <w:t xml:space="preserve">the histogram of the expected damages will look like the curve in panel d. The mean of this histogram is shown by a red line. The black vertical line shows the deterministic </w:t>
      </w:r>
      <w:r w:rsidR="0066703F">
        <w:t>expected</w:t>
      </w:r>
      <w:r w:rsidR="00D1554C">
        <w:t xml:space="preserve"> damages obtained from the deterministic exceedance probability (black line in panel b).</w:t>
      </w:r>
      <w:r w:rsidR="0066703F">
        <w:t xml:space="preserve"> In summary, figure 4 and figure 5 demonstrate the value of uncertainty quantification in estimation of expected damages and highlight its importance in assessment of risk and mitigation strategies.  </w:t>
      </w:r>
    </w:p>
    <w:p w14:paraId="521E185B" w14:textId="3B8D673C" w:rsidR="001F24BA" w:rsidRDefault="001F24BA" w:rsidP="00DA0D98">
      <w:commentRangeStart w:id="7"/>
      <w:r>
        <w:rPr>
          <w:noProof/>
        </w:rPr>
        <w:lastRenderedPageBreak/>
        <w:drawing>
          <wp:inline distT="0" distB="0" distL="0" distR="0" wp14:anchorId="6D844AF4" wp14:editId="0AD4A0B5">
            <wp:extent cx="3331845"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alue_uncertainty_v3.pdf"/>
                    <pic:cNvPicPr/>
                  </pic:nvPicPr>
                  <pic:blipFill>
                    <a:blip r:embed="rId20">
                      <a:extLst>
                        <a:ext uri="{28A0092B-C50C-407E-A947-70E740481C1C}">
                          <a14:useLocalDpi xmlns:a14="http://schemas.microsoft.com/office/drawing/2010/main" val="0"/>
                        </a:ext>
                      </a:extLst>
                    </a:blip>
                    <a:stretch>
                      <a:fillRect/>
                    </a:stretch>
                  </pic:blipFill>
                  <pic:spPr>
                    <a:xfrm>
                      <a:off x="0" y="0"/>
                      <a:ext cx="3331845" cy="8229600"/>
                    </a:xfrm>
                    <a:prstGeom prst="rect">
                      <a:avLst/>
                    </a:prstGeom>
                  </pic:spPr>
                </pic:pic>
              </a:graphicData>
            </a:graphic>
          </wp:inline>
        </w:drawing>
      </w:r>
      <w:commentRangeEnd w:id="7"/>
      <w:r w:rsidR="00F8562B">
        <w:rPr>
          <w:rStyle w:val="CommentReference"/>
        </w:rPr>
        <w:commentReference w:id="7"/>
      </w:r>
    </w:p>
    <w:p w14:paraId="1C310A53" w14:textId="6784FBA2" w:rsidR="001F24BA" w:rsidRDefault="00CC627A" w:rsidP="00541830">
      <w:pPr>
        <w:pStyle w:val="NoSpacing"/>
      </w:pPr>
      <w:r>
        <w:lastRenderedPageBreak/>
        <w:t xml:space="preserve">Figure 5: A demonstration to show that including parametric uncertainty in the </w:t>
      </w:r>
      <w:r w:rsidR="00F30E9B">
        <w:t xml:space="preserve">analysis of extreme water level frequency increases the annual expected damages. a: PDF of each parameter set in the MCMC chain is shown with a light gray line and the expected PDF of the GEV distribution (mean of gray lines) is shown in red. The black line shows the PDF of the GEV distribution under “neglecting uncertainty” scenario. b: 1-CDF of the lines in panel </w:t>
      </w:r>
      <w:proofErr w:type="spellStart"/>
      <w:r w:rsidR="00F30E9B">
        <w:t>a</w:t>
      </w:r>
      <w:proofErr w:type="spellEnd"/>
      <w:r w:rsidR="00F30E9B">
        <w:t xml:space="preserve"> which shows the exceedance probability </w:t>
      </w:r>
      <w:r w:rsidR="001D1925">
        <w:t xml:space="preserve">associated with each line. c: The depth-damage function d: the annual expected damages under uncertainty shown via the black pdf and its expected value shown via the red line. The annual expected damages neglecting uncertainty is shown by the black line.  </w:t>
      </w:r>
    </w:p>
    <w:p w14:paraId="73B66A83" w14:textId="38211CAD" w:rsidR="00934C46" w:rsidRDefault="00934C46" w:rsidP="00541830">
      <w:pPr>
        <w:pStyle w:val="NoSpacing"/>
      </w:pPr>
    </w:p>
    <w:p w14:paraId="6955E0B4" w14:textId="08C88814" w:rsidR="00934C46" w:rsidRDefault="00934C46" w:rsidP="00541830">
      <w:pPr>
        <w:pStyle w:val="NoSpacing"/>
      </w:pPr>
      <w:r w:rsidRPr="00934C46">
        <w:rPr>
          <w:noProof/>
        </w:rPr>
        <w:drawing>
          <wp:inline distT="0" distB="0" distL="0" distR="0" wp14:anchorId="28AEA284" wp14:editId="18442191">
            <wp:extent cx="4590288" cy="28203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4925" cy="2829372"/>
                    </a:xfrm>
                    <a:prstGeom prst="rect">
                      <a:avLst/>
                    </a:prstGeom>
                  </pic:spPr>
                </pic:pic>
              </a:graphicData>
            </a:graphic>
          </wp:inline>
        </w:drawing>
      </w:r>
    </w:p>
    <w:p w14:paraId="101916EC" w14:textId="12C29CFC" w:rsidR="00934C46" w:rsidRPr="007463D4" w:rsidRDefault="00934C46" w:rsidP="00541830">
      <w:pPr>
        <w:pStyle w:val="NoSpacing"/>
      </w:pPr>
      <w:r>
        <w:t xml:space="preserve">Figure 6: </w:t>
      </w:r>
      <w:proofErr w:type="spellStart"/>
      <w:r>
        <w:t>Sobol</w:t>
      </w:r>
      <w:proofErr w:type="spellEnd"/>
      <w:r>
        <w:t xml:space="preserve"> sensitivity analysis diagram. First order and second order. </w:t>
      </w:r>
    </w:p>
    <w:p w14:paraId="2187436E" w14:textId="48B40E64" w:rsidR="00DA0D98" w:rsidRPr="007463D4" w:rsidRDefault="00DA0D98" w:rsidP="00DA0D98">
      <w:pPr>
        <w:pStyle w:val="Heading2"/>
        <w:rPr>
          <w:rFonts w:cs="Times New Roman"/>
          <w:sz w:val="36"/>
          <w:szCs w:val="36"/>
        </w:rPr>
      </w:pPr>
      <w:r>
        <w:t>Analysis of the optimal elevation</w:t>
      </w:r>
      <w:r w:rsidR="00961F0E">
        <w:t xml:space="preserve"> </w:t>
      </w:r>
      <w:r>
        <w:t xml:space="preserve">for </w:t>
      </w:r>
      <w:r w:rsidR="00961F0E">
        <w:t xml:space="preserve">a </w:t>
      </w:r>
      <w:r w:rsidR="00541830">
        <w:t>typical house</w:t>
      </w:r>
    </w:p>
    <w:p w14:paraId="7861BC94" w14:textId="7F1DBC80" w:rsidR="00DA0D98" w:rsidRDefault="00961F0E" w:rsidP="00961F0E">
      <w:pPr>
        <w:rPr>
          <w:noProof/>
        </w:rPr>
      </w:pPr>
      <w:r>
        <w:rPr>
          <w:noProof/>
        </w:rPr>
        <w:t xml:space="preserve">We assume that a typical house in Selinsgrove area is worth $350,000, is 1,500 square feet and is </w:t>
      </w:r>
      <w:r w:rsidR="003659BD">
        <w:rPr>
          <w:noProof/>
        </w:rPr>
        <w:t>5</w:t>
      </w:r>
      <w:r>
        <w:rPr>
          <w:noProof/>
        </w:rPr>
        <w:t xml:space="preserve"> </w:t>
      </w:r>
      <w:commentRangeStart w:id="8"/>
      <w:r>
        <w:rPr>
          <w:noProof/>
        </w:rPr>
        <w:t>feet</w:t>
      </w:r>
      <w:commentRangeEnd w:id="8"/>
      <w:r>
        <w:rPr>
          <w:rStyle w:val="CommentReference"/>
        </w:rPr>
        <w:commentReference w:id="8"/>
      </w:r>
      <w:r>
        <w:rPr>
          <w:noProof/>
        </w:rPr>
        <w:t xml:space="preserve"> below the base flood elevation. </w:t>
      </w:r>
      <w:r w:rsidR="00DF5E5A">
        <w:rPr>
          <w:noProof/>
        </w:rPr>
        <w:t xml:space="preserve">We also assume that its lifetime is 30 years. </w:t>
      </w:r>
      <w:r>
        <w:rPr>
          <w:noProof/>
        </w:rPr>
        <w:t xml:space="preserve">In this section we analyze the optimal elevation </w:t>
      </w:r>
      <w:bookmarkStart w:id="9" w:name="_GoBack"/>
      <w:r>
        <w:rPr>
          <w:noProof/>
        </w:rPr>
        <w:t xml:space="preserve">neglecting </w:t>
      </w:r>
      <w:bookmarkEnd w:id="9"/>
      <w:r>
        <w:rPr>
          <w:noProof/>
        </w:rPr>
        <w:t xml:space="preserve">and considering uncertainty for such a house. Then, we will compare the results with FEMA’s recommendation and map the trade-offs between objectives in such a decision. </w:t>
      </w:r>
      <w:r w:rsidR="00DB283E">
        <w:rPr>
          <w:noProof/>
        </w:rPr>
        <w:t xml:space="preserve">As shown in figure 6, the optimal elevation under uncertainty is around eight feet while the optimal elevation neglecting uncertaitty is zero. A simple cost-benefit analysis without uncertainty quantification suggests not elevating the house; however, cost-benefit analysis under uncertainty suggests elevating the house to eight feet. FEMA, on the other hand, </w:t>
      </w:r>
      <w:r w:rsidR="00DB283E">
        <w:rPr>
          <w:noProof/>
        </w:rPr>
        <w:lastRenderedPageBreak/>
        <w:t xml:space="preserve">recommends elevating the house to one foot above the BFE; in other words, by six feet. Simialry, according to panel b of this figure, the conventional cost-benefit analysis indicates that for non of the policies, the benefit-to-cost ratio is above one. While the cost-benefit analysis under uncertainty indicates that for some policies (5-14 ft), the benefit-to-cost ratio is above one and passes the cost-benefit test. </w:t>
      </w:r>
      <w:r w:rsidR="00541830">
        <w:rPr>
          <w:noProof/>
        </w:rPr>
        <w:t xml:space="preserve">The third panel of this figure shows safety or the probability of no floods in the house lifetime. </w:t>
      </w:r>
      <w:r w:rsidR="00F60E5A">
        <w:rPr>
          <w:noProof/>
        </w:rPr>
        <w:t xml:space="preserve">Neglecting uncertainty appears to show higher safety for all policies which is resulted from the lower exceedence probabilities under “neglecting uncertainty” condition. </w:t>
      </w:r>
    </w:p>
    <w:p w14:paraId="0752C3C3" w14:textId="2A015643" w:rsidR="003B722F" w:rsidRDefault="003B722F" w:rsidP="00961F0E">
      <w:pPr>
        <w:rPr>
          <w:noProof/>
        </w:rPr>
      </w:pPr>
      <w:r>
        <w:rPr>
          <w:noProof/>
        </w:rPr>
        <w:t xml:space="preserve">It is worth noting that recommending one policy over another is beyond the scope of this study. Instead, we demonstrate the trade-offs and scenarios for the decision-maker and leave the final decision making to them. To this end, we map the tradeoff-s between objectives in figures 7 and 8. </w:t>
      </w:r>
      <w:r w:rsidR="00737199">
        <w:rPr>
          <w:noProof/>
        </w:rPr>
        <w:t xml:space="preserve">Figure 7 uses a parallel axes plot to show the trade-offs between all the objectives (as shown in figure 1). Each line in this plot represents a heightening policy. Green lines represent lower lifting policies and blue lines indicate higher lifting policies. The one left-alone green line indicates the “not elevating” policy. </w:t>
      </w:r>
      <w:r w:rsidR="003659BD">
        <w:rPr>
          <w:noProof/>
        </w:rPr>
        <w:t xml:space="preserve">Policies with high (low) safety are associated wih low (high) expected damages, high (low) upfront costs, and high (low) benefit-to-cost ratio. These policies are shown in blue (green) and are related to high (low) lifting scenarios. </w:t>
      </w:r>
      <w:r w:rsidR="00487B55">
        <w:rPr>
          <w:noProof/>
        </w:rPr>
        <w:t xml:space="preserve">Two important objectives are the upfront cost of elevating the house and the expected damages. The trade-offs between these two objectives are shown in Figure 8. </w:t>
      </w:r>
      <w:r w:rsidR="003659BD">
        <w:rPr>
          <w:noProof/>
        </w:rPr>
        <w:t xml:space="preserve"> </w:t>
      </w:r>
      <w:r w:rsidR="00693A5D">
        <w:rPr>
          <w:noProof/>
        </w:rPr>
        <w:t xml:space="preserve">For a certain upfront cost, the expected damages are higher if uncertainty is taken into account. Also, under certainty, the optimal elevation is zero while under uncertainty is higher than eight feet. </w:t>
      </w:r>
      <w:r w:rsidR="00224D3E">
        <w:rPr>
          <w:noProof/>
        </w:rPr>
        <w:t xml:space="preserve">Additionally, under certainty, none of the policies pass the cost-benefit test which confirms the results from figure 6. </w:t>
      </w:r>
      <w:r w:rsidR="00693A5D">
        <w:rPr>
          <w:noProof/>
        </w:rPr>
        <w:t xml:space="preserve"> </w:t>
      </w:r>
    </w:p>
    <w:p w14:paraId="4CB980BE" w14:textId="0641C3C9" w:rsidR="003B722F" w:rsidRDefault="003B722F" w:rsidP="00961F0E">
      <w:pPr>
        <w:rPr>
          <w:noProof/>
        </w:rPr>
      </w:pPr>
    </w:p>
    <w:p w14:paraId="3677FD6B" w14:textId="3A3D8DA4" w:rsidR="00961F0E" w:rsidRDefault="00961F0E" w:rsidP="00961F0E">
      <w:r>
        <w:rPr>
          <w:noProof/>
        </w:rPr>
        <w:lastRenderedPageBreak/>
        <w:drawing>
          <wp:inline distT="0" distB="0" distL="0" distR="0" wp14:anchorId="666FA90A" wp14:editId="05D0B010">
            <wp:extent cx="3594100" cy="5829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C_SMOOTH_CBA_house-5.pdf"/>
                    <pic:cNvPicPr/>
                  </pic:nvPicPr>
                  <pic:blipFill>
                    <a:blip r:embed="rId22">
                      <a:extLst>
                        <a:ext uri="{28A0092B-C50C-407E-A947-70E740481C1C}">
                          <a14:useLocalDpi xmlns:a14="http://schemas.microsoft.com/office/drawing/2010/main" val="0"/>
                        </a:ext>
                      </a:extLst>
                    </a:blip>
                    <a:stretch>
                      <a:fillRect/>
                    </a:stretch>
                  </pic:blipFill>
                  <pic:spPr>
                    <a:xfrm>
                      <a:off x="0" y="0"/>
                      <a:ext cx="3594100" cy="5829300"/>
                    </a:xfrm>
                    <a:prstGeom prst="rect">
                      <a:avLst/>
                    </a:prstGeom>
                  </pic:spPr>
                </pic:pic>
              </a:graphicData>
            </a:graphic>
          </wp:inline>
        </w:drawing>
      </w:r>
    </w:p>
    <w:p w14:paraId="3B568D99" w14:textId="1C642BA7" w:rsidR="00DA0D98" w:rsidRDefault="00DA0D98" w:rsidP="00541830">
      <w:pPr>
        <w:pStyle w:val="NoSpacing"/>
      </w:pPr>
      <w:r>
        <w:t xml:space="preserve">Figure </w:t>
      </w:r>
      <w:r w:rsidR="00961F0E">
        <w:t>6</w:t>
      </w:r>
      <w:r>
        <w:t xml:space="preserve">: Variation of total cost, benefit to cost ratio and safety with respect to house heightening level. </w:t>
      </w:r>
      <w:r w:rsidR="00961F0E">
        <w:t xml:space="preserve">a: </w:t>
      </w:r>
      <w:r w:rsidR="00604CE8">
        <w:t>t</w:t>
      </w:r>
      <w:r>
        <w:t xml:space="preserve">he </w:t>
      </w:r>
      <w:r w:rsidR="00961F0E">
        <w:t xml:space="preserve">solid and hollow </w:t>
      </w:r>
      <w:r>
        <w:t>dot</w:t>
      </w:r>
      <w:r w:rsidR="00961F0E">
        <w:t>s</w:t>
      </w:r>
      <w:r>
        <w:t xml:space="preserve"> indicate the cost optimal policy</w:t>
      </w:r>
      <w:r w:rsidR="00961F0E">
        <w:t xml:space="preserve"> considering and neglecting uncertainty, respectively</w:t>
      </w:r>
      <w:r>
        <w:t xml:space="preserve">. The </w:t>
      </w:r>
      <w:r w:rsidR="00961F0E">
        <w:t xml:space="preserve">horizontal </w:t>
      </w:r>
      <w:r>
        <w:t>gray area</w:t>
      </w:r>
      <w:r w:rsidR="00961F0E">
        <w:t xml:space="preserve"> </w:t>
      </w:r>
      <w:r>
        <w:t>indicates costs that are equal to the house value.</w:t>
      </w:r>
      <w:r w:rsidR="00961F0E">
        <w:t xml:space="preserve"> The hatched gray area on the left refers to elevating a house to less than three feet which is ignored in this study </w:t>
      </w:r>
      <w:r w:rsidR="00604CE8">
        <w:t>(this is not practical and cost information are not available for this elevation range). Thus, the black line that shows the construction cost starts from three feet. b: benefit-to-cost ratio for range of heightening policies (0-14 ft). T</w:t>
      </w:r>
      <w:r>
        <w:t>he gray are</w:t>
      </w:r>
      <w:r w:rsidR="00604CE8">
        <w:t xml:space="preserve">a </w:t>
      </w:r>
      <w:r>
        <w:t xml:space="preserve">indicates that benefit to cost ratio is less than one and policies in that area are not cost effective. </w:t>
      </w:r>
      <w:r w:rsidR="00604CE8">
        <w:t>c: safety for a range of lifting policies. T</w:t>
      </w:r>
      <w:r>
        <w:t>he gray area indicates</w:t>
      </w:r>
      <w:r w:rsidR="00604CE8">
        <w:t xml:space="preserve"> policies that lead to</w:t>
      </w:r>
      <w:r>
        <w:t xml:space="preserve"> less than 50% safety. The</w:t>
      </w:r>
      <w:r w:rsidR="00604CE8">
        <w:t xml:space="preserve"> two vertical </w:t>
      </w:r>
      <w:r>
        <w:t xml:space="preserve">dashed lines represent the 100-yr flood (base flood elevation) and FEMA’s recommendation (base flood elevation plus one foot of freeboard). </w:t>
      </w:r>
      <w:r w:rsidR="00015ACA">
        <w:t xml:space="preserve">In all the panels, dotted red line indicates ignoring uncertainty and the solid red line indicates considering uncertainty. </w:t>
      </w:r>
      <w:r>
        <w:t xml:space="preserve">  </w:t>
      </w:r>
    </w:p>
    <w:p w14:paraId="49EB63C9" w14:textId="665FDFBF" w:rsidR="00DB283E" w:rsidRDefault="00DB283E" w:rsidP="00DA0D98"/>
    <w:p w14:paraId="07179867" w14:textId="2166B443" w:rsidR="00DB283E" w:rsidRDefault="00DB283E" w:rsidP="00DA0D98">
      <w:commentRangeStart w:id="10"/>
      <w:r w:rsidRPr="00DB283E">
        <w:rPr>
          <w:noProof/>
        </w:rPr>
        <w:drawing>
          <wp:inline distT="0" distB="0" distL="0" distR="0" wp14:anchorId="2D2ABFC0" wp14:editId="1FC34625">
            <wp:extent cx="4443984" cy="2733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4328" cy="2740173"/>
                    </a:xfrm>
                    <a:prstGeom prst="rect">
                      <a:avLst/>
                    </a:prstGeom>
                  </pic:spPr>
                </pic:pic>
              </a:graphicData>
            </a:graphic>
          </wp:inline>
        </w:drawing>
      </w:r>
      <w:commentRangeEnd w:id="10"/>
      <w:r w:rsidR="00DD1329">
        <w:rPr>
          <w:rStyle w:val="CommentReference"/>
        </w:rPr>
        <w:commentReference w:id="10"/>
      </w:r>
    </w:p>
    <w:p w14:paraId="02830884" w14:textId="2AB7F625" w:rsidR="00DA0D98" w:rsidRDefault="00DB283E" w:rsidP="003659BD">
      <w:pPr>
        <w:pStyle w:val="NoSpacing"/>
      </w:pPr>
      <w:r>
        <w:t xml:space="preserve">Figure 7: </w:t>
      </w:r>
      <w:proofErr w:type="spellStart"/>
      <w:r>
        <w:t>Prallel</w:t>
      </w:r>
      <w:proofErr w:type="spellEnd"/>
      <w:r>
        <w:t xml:space="preserve"> plot demonstrating the trade-offs between objectives in the decision of elevating a typical house in Selinsgrove, PA. Each line indicates a heightening policy (as indicated by its color). The left-out line indicates the policy of “not elevating the house”. </w:t>
      </w:r>
    </w:p>
    <w:p w14:paraId="6E6AABAD" w14:textId="0D48FB92" w:rsidR="000514FF" w:rsidRDefault="000514FF" w:rsidP="003659BD">
      <w:pPr>
        <w:pStyle w:val="NoSpacing"/>
      </w:pPr>
    </w:p>
    <w:p w14:paraId="43E7BCEC" w14:textId="1D06A9A5" w:rsidR="000514FF" w:rsidRDefault="000514FF" w:rsidP="003659BD">
      <w:pPr>
        <w:pStyle w:val="NoSpacing"/>
      </w:pPr>
      <w:r w:rsidRPr="000514FF">
        <w:rPr>
          <w:noProof/>
        </w:rPr>
        <w:drawing>
          <wp:inline distT="0" distB="0" distL="0" distR="0" wp14:anchorId="480B2C2D" wp14:editId="12A9F41D">
            <wp:extent cx="4489938" cy="26637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09" cy="2680573"/>
                    </a:xfrm>
                    <a:prstGeom prst="rect">
                      <a:avLst/>
                    </a:prstGeom>
                  </pic:spPr>
                </pic:pic>
              </a:graphicData>
            </a:graphic>
          </wp:inline>
        </w:drawing>
      </w:r>
    </w:p>
    <w:p w14:paraId="23A6DFC2" w14:textId="3BF3F516" w:rsidR="000514FF" w:rsidRDefault="000514FF" w:rsidP="003659BD">
      <w:pPr>
        <w:pStyle w:val="NoSpacing"/>
      </w:pPr>
      <w:r>
        <w:t>Figure 8: Trade-offs between the upfront cost and expected damages with and without uncertainty quantification. The scenario with uncertainty quantification is shown by red and the neglecting uncertainty condition is shown by blue. Along each line, the dashed parts indicate that the policy does not pass the cost-</w:t>
      </w:r>
      <w:r w:rsidR="00693A5D">
        <w:t>benefit</w:t>
      </w:r>
      <w:r>
        <w:t xml:space="preserve"> test (i.e. the benefit-to-cost ratio is less than one). Heightening policies of 0-3 feet are blocked by </w:t>
      </w:r>
      <w:r>
        <w:lastRenderedPageBreak/>
        <w:t xml:space="preserve">the gray area as it is impractical to elevate a house to less than three feet. </w:t>
      </w:r>
      <w:r w:rsidR="00D055BF">
        <w:t xml:space="preserve">“not elevating” policies are shown by dots and the optimal elevations are shown by squares.  </w:t>
      </w:r>
    </w:p>
    <w:p w14:paraId="77EA72F0" w14:textId="588E5E2F" w:rsidR="00DA0D98" w:rsidRDefault="00616F36" w:rsidP="00DA0D98">
      <w:pPr>
        <w:pStyle w:val="Heading2"/>
        <w:rPr>
          <w:rFonts w:cs="Times New Roman"/>
          <w:sz w:val="36"/>
          <w:szCs w:val="36"/>
        </w:rPr>
      </w:pPr>
      <w:r>
        <w:t xml:space="preserve">Analysis of optimal elevation for a </w:t>
      </w:r>
      <w:r w:rsidR="00D24DC2">
        <w:t>range</w:t>
      </w:r>
      <w:r>
        <w:t xml:space="preserve"> of house characteristics</w:t>
      </w:r>
    </w:p>
    <w:p w14:paraId="784849DD" w14:textId="19C7EF61" w:rsidR="00DA0D98" w:rsidRDefault="00DA0D98" w:rsidP="00DA0D98">
      <w:r>
        <w:t xml:space="preserve">Given the plausible ranges </w:t>
      </w:r>
      <w:r w:rsidR="00616F36">
        <w:t>for</w:t>
      </w:r>
      <w:r>
        <w:t xml:space="preserve"> house value, house size, and location with respect to the BFE</w:t>
      </w:r>
      <w:r w:rsidR="00616F36">
        <w:t xml:space="preserve"> (as listed in table 3)</w:t>
      </w:r>
      <w:r>
        <w:t>, we created a set of 1,000 hypothetical houses using Latin hypercube sampling and analyzed the optimal elevation for each of them.</w:t>
      </w:r>
    </w:p>
    <w:p w14:paraId="26371556" w14:textId="4549A435" w:rsidR="00616F36" w:rsidRDefault="00616F36" w:rsidP="00616F36">
      <w:pPr>
        <w:pStyle w:val="Quote"/>
      </w:pPr>
      <w:r>
        <w:t xml:space="preserve">Table 3: Ranges for house value, elevation, and size considered in this </w:t>
      </w:r>
      <w:commentRangeStart w:id="11"/>
      <w:r>
        <w:t>study</w:t>
      </w:r>
      <w:commentRangeEnd w:id="11"/>
      <w:r>
        <w:rPr>
          <w:rStyle w:val="CommentReference"/>
        </w:rPr>
        <w:commentReference w:id="11"/>
      </w:r>
    </w:p>
    <w:tbl>
      <w:tblPr>
        <w:tblStyle w:val="TableGrid"/>
        <w:tblW w:w="0" w:type="auto"/>
        <w:tblLook w:val="04A0" w:firstRow="1" w:lastRow="0" w:firstColumn="1" w:lastColumn="0" w:noHBand="0" w:noVBand="1"/>
      </w:tblPr>
      <w:tblGrid>
        <w:gridCol w:w="3156"/>
        <w:gridCol w:w="1503"/>
        <w:gridCol w:w="1476"/>
      </w:tblGrid>
      <w:tr w:rsidR="00616F36" w14:paraId="59170997" w14:textId="77777777" w:rsidTr="00CC086C">
        <w:tc>
          <w:tcPr>
            <w:tcW w:w="0" w:type="auto"/>
            <w:vAlign w:val="center"/>
          </w:tcPr>
          <w:p w14:paraId="098CB56E" w14:textId="35DBE13C" w:rsidR="00616F36" w:rsidRDefault="00616F36" w:rsidP="00CC086C">
            <w:pPr>
              <w:jc w:val="center"/>
            </w:pPr>
            <w:r>
              <w:t>House characteristic</w:t>
            </w:r>
          </w:p>
        </w:tc>
        <w:tc>
          <w:tcPr>
            <w:tcW w:w="0" w:type="auto"/>
            <w:vAlign w:val="center"/>
          </w:tcPr>
          <w:p w14:paraId="7618F83A" w14:textId="4F5C88DF" w:rsidR="00616F36" w:rsidRDefault="00616F36" w:rsidP="00CC086C">
            <w:pPr>
              <w:jc w:val="center"/>
            </w:pPr>
            <w:r>
              <w:t>Lower bound</w:t>
            </w:r>
          </w:p>
        </w:tc>
        <w:tc>
          <w:tcPr>
            <w:tcW w:w="0" w:type="auto"/>
            <w:vAlign w:val="center"/>
          </w:tcPr>
          <w:p w14:paraId="36F7BCE9" w14:textId="796C0E74" w:rsidR="00616F36" w:rsidRDefault="00616F36" w:rsidP="00CC086C">
            <w:pPr>
              <w:jc w:val="center"/>
            </w:pPr>
            <w:r>
              <w:t>Upper bound</w:t>
            </w:r>
          </w:p>
        </w:tc>
      </w:tr>
      <w:tr w:rsidR="00616F36" w14:paraId="2F7D41FC" w14:textId="77777777" w:rsidTr="00CC086C">
        <w:tc>
          <w:tcPr>
            <w:tcW w:w="0" w:type="auto"/>
            <w:vAlign w:val="center"/>
          </w:tcPr>
          <w:p w14:paraId="63D7C29D" w14:textId="7C86819D" w:rsidR="00616F36" w:rsidRDefault="00616F36" w:rsidP="00CC086C">
            <w:pPr>
              <w:jc w:val="center"/>
            </w:pPr>
            <w:r>
              <w:t>Size (ft</w:t>
            </w:r>
            <w:r w:rsidRPr="00616F36">
              <w:rPr>
                <w:vertAlign w:val="superscript"/>
              </w:rPr>
              <w:t>2</w:t>
            </w:r>
            <w:r>
              <w:t>)</w:t>
            </w:r>
          </w:p>
        </w:tc>
        <w:tc>
          <w:tcPr>
            <w:tcW w:w="0" w:type="auto"/>
            <w:vAlign w:val="center"/>
          </w:tcPr>
          <w:p w14:paraId="6751FC4A" w14:textId="700A3F56" w:rsidR="00616F36" w:rsidRDefault="00616F36" w:rsidP="00CC086C">
            <w:pPr>
              <w:jc w:val="center"/>
            </w:pPr>
            <w:r>
              <w:t>100</w:t>
            </w:r>
          </w:p>
        </w:tc>
        <w:tc>
          <w:tcPr>
            <w:tcW w:w="0" w:type="auto"/>
            <w:vAlign w:val="center"/>
          </w:tcPr>
          <w:p w14:paraId="4F489B5E" w14:textId="76927071" w:rsidR="00616F36" w:rsidRDefault="00616F36" w:rsidP="00CC086C">
            <w:pPr>
              <w:jc w:val="center"/>
            </w:pPr>
            <w:r>
              <w:t>3000</w:t>
            </w:r>
          </w:p>
        </w:tc>
      </w:tr>
      <w:tr w:rsidR="00616F36" w14:paraId="69310CE0" w14:textId="77777777" w:rsidTr="00CC086C">
        <w:tc>
          <w:tcPr>
            <w:tcW w:w="0" w:type="auto"/>
            <w:vAlign w:val="center"/>
          </w:tcPr>
          <w:p w14:paraId="73593C68" w14:textId="67FFBF41" w:rsidR="00616F36" w:rsidRDefault="00616F36" w:rsidP="00CC086C">
            <w:pPr>
              <w:jc w:val="center"/>
            </w:pPr>
            <w:r>
              <w:t>Value (USD)</w:t>
            </w:r>
          </w:p>
        </w:tc>
        <w:tc>
          <w:tcPr>
            <w:tcW w:w="0" w:type="auto"/>
            <w:vAlign w:val="center"/>
          </w:tcPr>
          <w:p w14:paraId="416F5625" w14:textId="2D807265" w:rsidR="00616F36" w:rsidRDefault="00616F36" w:rsidP="00CC086C">
            <w:pPr>
              <w:jc w:val="center"/>
            </w:pPr>
            <w:r>
              <w:t>100,000</w:t>
            </w:r>
          </w:p>
        </w:tc>
        <w:tc>
          <w:tcPr>
            <w:tcW w:w="0" w:type="auto"/>
            <w:vAlign w:val="center"/>
          </w:tcPr>
          <w:p w14:paraId="6748A6BA" w14:textId="2BFBB731" w:rsidR="00616F36" w:rsidRDefault="00616F36" w:rsidP="00CC086C">
            <w:pPr>
              <w:jc w:val="center"/>
            </w:pPr>
            <w:r>
              <w:t>500,000</w:t>
            </w:r>
          </w:p>
        </w:tc>
      </w:tr>
      <w:tr w:rsidR="00616F36" w14:paraId="44FD6DDE" w14:textId="77777777" w:rsidTr="00CC086C">
        <w:tc>
          <w:tcPr>
            <w:tcW w:w="0" w:type="auto"/>
            <w:vAlign w:val="center"/>
          </w:tcPr>
          <w:p w14:paraId="11D68479" w14:textId="7905BD2D" w:rsidR="00616F36" w:rsidRDefault="00616F36" w:rsidP="00CC086C">
            <w:pPr>
              <w:jc w:val="center"/>
            </w:pPr>
            <w:r>
              <w:t xml:space="preserve">Initial elevation </w:t>
            </w:r>
            <w:proofErr w:type="spellStart"/>
            <w:r>
              <w:t>w.r.t.</w:t>
            </w:r>
            <w:proofErr w:type="spellEnd"/>
            <w:r>
              <w:t xml:space="preserve"> BFE (ft)</w:t>
            </w:r>
          </w:p>
        </w:tc>
        <w:tc>
          <w:tcPr>
            <w:tcW w:w="0" w:type="auto"/>
            <w:vAlign w:val="center"/>
          </w:tcPr>
          <w:p w14:paraId="6DA4C2B0" w14:textId="638BE15E" w:rsidR="00616F36" w:rsidRDefault="00616F36" w:rsidP="00CC086C">
            <w:pPr>
              <w:jc w:val="center"/>
            </w:pPr>
            <w:r>
              <w:t>-10</w:t>
            </w:r>
          </w:p>
        </w:tc>
        <w:tc>
          <w:tcPr>
            <w:tcW w:w="0" w:type="auto"/>
            <w:vAlign w:val="center"/>
          </w:tcPr>
          <w:p w14:paraId="64CDC4A2" w14:textId="0851B588" w:rsidR="00616F36" w:rsidRDefault="00616F36" w:rsidP="00CC086C">
            <w:pPr>
              <w:jc w:val="center"/>
            </w:pPr>
            <w:r>
              <w:t>0</w:t>
            </w:r>
          </w:p>
        </w:tc>
      </w:tr>
      <w:tr w:rsidR="00616F36" w14:paraId="1193D9FB" w14:textId="77777777" w:rsidTr="00CC086C">
        <w:tc>
          <w:tcPr>
            <w:tcW w:w="0" w:type="auto"/>
            <w:vAlign w:val="center"/>
          </w:tcPr>
          <w:p w14:paraId="7D336F95" w14:textId="7D3D0DF8" w:rsidR="00616F36" w:rsidRDefault="00616F36" w:rsidP="00CC086C">
            <w:pPr>
              <w:jc w:val="center"/>
            </w:pPr>
            <w:r>
              <w:t>Lifespan (years)</w:t>
            </w:r>
          </w:p>
        </w:tc>
        <w:tc>
          <w:tcPr>
            <w:tcW w:w="0" w:type="auto"/>
            <w:vAlign w:val="center"/>
          </w:tcPr>
          <w:p w14:paraId="394CA024" w14:textId="38BBDC56" w:rsidR="00616F36" w:rsidRDefault="00616F36" w:rsidP="00CC086C">
            <w:pPr>
              <w:jc w:val="center"/>
            </w:pPr>
            <w:r>
              <w:t>5</w:t>
            </w:r>
          </w:p>
        </w:tc>
        <w:tc>
          <w:tcPr>
            <w:tcW w:w="0" w:type="auto"/>
            <w:vAlign w:val="center"/>
          </w:tcPr>
          <w:p w14:paraId="4BA8460A" w14:textId="43757826" w:rsidR="00616F36" w:rsidRDefault="00616F36" w:rsidP="00CC086C">
            <w:pPr>
              <w:jc w:val="center"/>
            </w:pPr>
            <w:r>
              <w:t>100</w:t>
            </w:r>
          </w:p>
        </w:tc>
      </w:tr>
    </w:tbl>
    <w:p w14:paraId="4A81D656" w14:textId="7943BDC2" w:rsidR="004343B6" w:rsidRDefault="004343B6" w:rsidP="00DA0D98">
      <w:r>
        <w:t xml:space="preserve">The optimal elevation under certainty and uncertainty were calculated for all 10,000 houses. Figure 9 plots the optimal </w:t>
      </w:r>
      <w:r w:rsidR="00B502A2">
        <w:t>elevation</w:t>
      </w:r>
      <w:r>
        <w:t xml:space="preserve"> under uncertainty versus optimal elevation neglecting uncertainty. It is observed that the all the cases the optimal elevation under uncertainty is greater than or equal to the optimal elevation neglecting uncertainty. </w:t>
      </w:r>
      <w:proofErr w:type="gramStart"/>
      <w:r>
        <w:t xml:space="preserve">In </w:t>
      </w:r>
      <w:commentRangeStart w:id="12"/>
      <w:r>
        <w:t>?</w:t>
      </w:r>
      <w:proofErr w:type="gramEnd"/>
      <w:r>
        <w:t xml:space="preserve"> </w:t>
      </w:r>
      <w:commentRangeEnd w:id="12"/>
      <w:r w:rsidR="00B502A2">
        <w:rPr>
          <w:rStyle w:val="CommentReference"/>
        </w:rPr>
        <w:commentReference w:id="12"/>
      </w:r>
      <w:r>
        <w:t xml:space="preserve">percent of houses, the cost of </w:t>
      </w:r>
      <w:r w:rsidR="00B502A2">
        <w:t>elevating</w:t>
      </w:r>
      <w:r>
        <w:t xml:space="preserve"> the house to the optimal elevation ignoring uncertainty is higher than the house value. </w:t>
      </w:r>
      <w:r w:rsidR="00B502A2">
        <w:t>Similarly</w:t>
      </w:r>
      <w:r>
        <w:t xml:space="preserve">, </w:t>
      </w:r>
      <w:proofErr w:type="gramStart"/>
      <w:r>
        <w:t xml:space="preserve">in </w:t>
      </w:r>
      <w:commentRangeStart w:id="13"/>
      <w:r>
        <w:t>?</w:t>
      </w:r>
      <w:proofErr w:type="gramEnd"/>
      <w:r>
        <w:t xml:space="preserve"> </w:t>
      </w:r>
      <w:commentRangeEnd w:id="13"/>
      <w:r w:rsidR="00B502A2">
        <w:rPr>
          <w:rStyle w:val="CommentReference"/>
        </w:rPr>
        <w:commentReference w:id="13"/>
      </w:r>
      <w:r>
        <w:t xml:space="preserve">percent of houses the cost of elevating the house to the optimal elevation under uncertainty is higher than the house value. In figure 9, these houses are marked with red triangles. In cases where a star is formed (an upward triangle overlaps a downward </w:t>
      </w:r>
      <w:r w:rsidR="00B502A2">
        <w:t>triangle</w:t>
      </w:r>
      <w:r>
        <w:t xml:space="preserve">), the cost of elevating to any of those elevation is more than the current value of the house (before elevating). It should be noted that we ignore the added value </w:t>
      </w:r>
      <w:r w:rsidR="00B502A2">
        <w:t>to</w:t>
      </w:r>
      <w:r>
        <w:t xml:space="preserve"> the house after elevating.</w:t>
      </w:r>
    </w:p>
    <w:p w14:paraId="4BE4F51A" w14:textId="740E1FD9" w:rsidR="004343B6" w:rsidRDefault="004343B6" w:rsidP="00DA0D98">
      <w:r w:rsidRPr="004343B6">
        <w:rPr>
          <w:noProof/>
        </w:rPr>
        <w:lastRenderedPageBreak/>
        <w:drawing>
          <wp:inline distT="0" distB="0" distL="0" distR="0" wp14:anchorId="5CE8B693" wp14:editId="7DC8306A">
            <wp:extent cx="3118338" cy="31183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2557" cy="3122557"/>
                    </a:xfrm>
                    <a:prstGeom prst="rect">
                      <a:avLst/>
                    </a:prstGeom>
                  </pic:spPr>
                </pic:pic>
              </a:graphicData>
            </a:graphic>
          </wp:inline>
        </w:drawing>
      </w:r>
    </w:p>
    <w:p w14:paraId="557795D9" w14:textId="0F4424B2" w:rsidR="004343B6" w:rsidRDefault="005E44C2" w:rsidP="00542C4C">
      <w:pPr>
        <w:pStyle w:val="NoSpacing"/>
      </w:pPr>
      <w:r>
        <w:t xml:space="preserve">Figure 9: The scatter plot of the optimal elevation under uncertainty versus the optimal elevation under certainty. The upward red triangle denotes houses where </w:t>
      </w:r>
      <w:r w:rsidR="00542C4C">
        <w:t xml:space="preserve">optimal elevation under certainty cost more than house value. The downward triangle shows houses where elevating to the optimal elevation under uncertainty costs more than house value. </w:t>
      </w:r>
    </w:p>
    <w:p w14:paraId="444082AD" w14:textId="79E201A8" w:rsidR="00A40AC6" w:rsidRDefault="00A40AC6" w:rsidP="00542C4C">
      <w:pPr>
        <w:pStyle w:val="NoSpacing"/>
      </w:pPr>
    </w:p>
    <w:p w14:paraId="6E668FED" w14:textId="6FAC67B6" w:rsidR="00A40AC6" w:rsidRDefault="00A40AC6" w:rsidP="00542C4C">
      <w:pPr>
        <w:pStyle w:val="NoSpacing"/>
      </w:pPr>
    </w:p>
    <w:p w14:paraId="4413B19F" w14:textId="4291E805" w:rsidR="00A40AC6" w:rsidRDefault="00A40AC6" w:rsidP="00542C4C">
      <w:pPr>
        <w:pStyle w:val="NoSpacing"/>
      </w:pPr>
    </w:p>
    <w:p w14:paraId="727ED7B0" w14:textId="22B094A1" w:rsidR="00A40AC6" w:rsidRDefault="00A40AC6" w:rsidP="00542C4C">
      <w:pPr>
        <w:pStyle w:val="NoSpacing"/>
      </w:pPr>
      <w:commentRangeStart w:id="14"/>
      <w:r>
        <w:rPr>
          <w:noProof/>
        </w:rPr>
        <w:lastRenderedPageBreak/>
        <w:drawing>
          <wp:inline distT="0" distB="0" distL="0" distR="0" wp14:anchorId="59C818C8" wp14:editId="3E9B0251">
            <wp:extent cx="3594100" cy="52871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C_SMOOTH_CBA_house-6.789922.pdf"/>
                    <pic:cNvPicPr/>
                  </pic:nvPicPr>
                  <pic:blipFill rotWithShape="1">
                    <a:blip r:embed="rId26">
                      <a:extLst>
                        <a:ext uri="{28A0092B-C50C-407E-A947-70E740481C1C}">
                          <a14:useLocalDpi xmlns:a14="http://schemas.microsoft.com/office/drawing/2010/main" val="0"/>
                        </a:ext>
                      </a:extLst>
                    </a:blip>
                    <a:srcRect t="3419" b="5882"/>
                    <a:stretch/>
                  </pic:blipFill>
                  <pic:spPr bwMode="auto">
                    <a:xfrm>
                      <a:off x="0" y="0"/>
                      <a:ext cx="3594100" cy="5287108"/>
                    </a:xfrm>
                    <a:prstGeom prst="rect">
                      <a:avLst/>
                    </a:prstGeom>
                    <a:ln>
                      <a:noFill/>
                    </a:ln>
                    <a:extLst>
                      <a:ext uri="{53640926-AAD7-44D8-BBD7-CCE9431645EC}">
                        <a14:shadowObscured xmlns:a14="http://schemas.microsoft.com/office/drawing/2010/main"/>
                      </a:ext>
                    </a:extLst>
                  </pic:spPr>
                </pic:pic>
              </a:graphicData>
            </a:graphic>
          </wp:inline>
        </w:drawing>
      </w:r>
      <w:commentRangeEnd w:id="14"/>
      <w:r w:rsidR="00D24DC2">
        <w:rPr>
          <w:rStyle w:val="CommentReference"/>
        </w:rPr>
        <w:commentReference w:id="14"/>
      </w:r>
    </w:p>
    <w:p w14:paraId="35DC2B42" w14:textId="288AC12B" w:rsidR="00DA0D98" w:rsidRDefault="00A40AC6" w:rsidP="00D24DC2">
      <w:pPr>
        <w:pStyle w:val="NoSpacing"/>
      </w:pPr>
      <w:r>
        <w:t xml:space="preserve">Figure 10: Similar to figure 6 but for a house with value, size, elevation, and lifespan </w:t>
      </w:r>
      <w:commentRangeStart w:id="15"/>
      <w:r>
        <w:t xml:space="preserve">of </w:t>
      </w:r>
      <w:commentRangeEnd w:id="15"/>
      <w:r>
        <w:rPr>
          <w:rStyle w:val="CommentReference"/>
        </w:rPr>
        <w:commentReference w:id="15"/>
      </w:r>
      <w:r>
        <w:t xml:space="preserve">?, ?, ?, </w:t>
      </w:r>
      <w:proofErr w:type="gramStart"/>
      <w:r>
        <w:t>and ?</w:t>
      </w:r>
      <w:proofErr w:type="gramEnd"/>
      <w:r>
        <w:t>.</w:t>
      </w:r>
    </w:p>
    <w:p w14:paraId="6E2165AF" w14:textId="1246ED54" w:rsidR="00564008" w:rsidRDefault="00564008" w:rsidP="00D24DC2">
      <w:pPr>
        <w:pStyle w:val="NoSpacing"/>
      </w:pPr>
    </w:p>
    <w:p w14:paraId="460B61A5" w14:textId="71DE9044" w:rsidR="00564008" w:rsidRDefault="00564008" w:rsidP="00D24DC2">
      <w:pPr>
        <w:pStyle w:val="NoSpacing"/>
      </w:pPr>
      <w:r>
        <w:rPr>
          <w:noProof/>
        </w:rPr>
        <w:lastRenderedPageBreak/>
        <w:drawing>
          <wp:inline distT="0" distB="0" distL="0" distR="0" wp14:anchorId="5DB8F6E9" wp14:editId="420C6DD6">
            <wp:extent cx="3594100" cy="582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C_SMOOTH_CBA_house-6.63388.pdf"/>
                    <pic:cNvPicPr/>
                  </pic:nvPicPr>
                  <pic:blipFill>
                    <a:blip r:embed="rId27">
                      <a:extLst>
                        <a:ext uri="{28A0092B-C50C-407E-A947-70E740481C1C}">
                          <a14:useLocalDpi xmlns:a14="http://schemas.microsoft.com/office/drawing/2010/main" val="0"/>
                        </a:ext>
                      </a:extLst>
                    </a:blip>
                    <a:stretch>
                      <a:fillRect/>
                    </a:stretch>
                  </pic:blipFill>
                  <pic:spPr>
                    <a:xfrm>
                      <a:off x="0" y="0"/>
                      <a:ext cx="3594100" cy="5829300"/>
                    </a:xfrm>
                    <a:prstGeom prst="rect">
                      <a:avLst/>
                    </a:prstGeom>
                  </pic:spPr>
                </pic:pic>
              </a:graphicData>
            </a:graphic>
          </wp:inline>
        </w:drawing>
      </w:r>
    </w:p>
    <w:p w14:paraId="025185A1" w14:textId="4C3F1FE5" w:rsidR="00564008" w:rsidRDefault="005D37FC" w:rsidP="00564008">
      <w:pPr>
        <w:pStyle w:val="NoSpacing"/>
      </w:pPr>
      <w:r>
        <w:t xml:space="preserve">Figure 11: </w:t>
      </w:r>
      <w:r w:rsidR="00564008">
        <w:t xml:space="preserve">Similar to </w:t>
      </w:r>
      <w:r w:rsidR="00564008" w:rsidRPr="00564008">
        <w:t>figure</w:t>
      </w:r>
      <w:r w:rsidR="00564008">
        <w:t xml:space="preserve"> 6 but for a house with size, value, and initial elevation </w:t>
      </w:r>
      <w:proofErr w:type="gramStart"/>
      <w:r w:rsidR="00564008">
        <w:t>of ?</w:t>
      </w:r>
      <w:proofErr w:type="gramEnd"/>
      <w:r w:rsidR="00564008">
        <w:t xml:space="preserve">,?, </w:t>
      </w:r>
      <w:commentRangeStart w:id="16"/>
      <w:r w:rsidR="00564008">
        <w:t>and</w:t>
      </w:r>
      <w:commentRangeEnd w:id="16"/>
      <w:r w:rsidR="00564008">
        <w:rPr>
          <w:rStyle w:val="CommentReference"/>
        </w:rPr>
        <w:commentReference w:id="16"/>
      </w:r>
      <w:r w:rsidR="00564008">
        <w:t xml:space="preserve"> ?.</w:t>
      </w:r>
    </w:p>
    <w:p w14:paraId="27322674" w14:textId="75B3C3D2" w:rsidR="00944CC8" w:rsidRDefault="00944CC8" w:rsidP="00D24DC2">
      <w:pPr>
        <w:pStyle w:val="NoSpacing"/>
      </w:pPr>
    </w:p>
    <w:p w14:paraId="0C6C5437" w14:textId="2AABF369" w:rsidR="00944CC8" w:rsidRDefault="00944CC8" w:rsidP="00D24DC2">
      <w:pPr>
        <w:pStyle w:val="NoSpacing"/>
      </w:pPr>
      <w:r w:rsidRPr="00944CC8">
        <w:rPr>
          <w:noProof/>
        </w:rPr>
        <w:lastRenderedPageBreak/>
        <w:drawing>
          <wp:inline distT="0" distB="0" distL="0" distR="0" wp14:anchorId="21A5D126" wp14:editId="7AE51013">
            <wp:extent cx="5943600" cy="4266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66565"/>
                    </a:xfrm>
                    <a:prstGeom prst="rect">
                      <a:avLst/>
                    </a:prstGeom>
                  </pic:spPr>
                </pic:pic>
              </a:graphicData>
            </a:graphic>
          </wp:inline>
        </w:drawing>
      </w:r>
    </w:p>
    <w:p w14:paraId="54665ABC" w14:textId="576452D7" w:rsidR="00944CC8" w:rsidRDefault="005D37FC" w:rsidP="00564008">
      <w:pPr>
        <w:pStyle w:val="NoSpacing"/>
      </w:pPr>
      <w:r>
        <w:t xml:space="preserve">Figure 12: </w:t>
      </w:r>
      <w:commentRangeStart w:id="17"/>
      <w:r w:rsidR="00564008">
        <w:t>Classification</w:t>
      </w:r>
      <w:commentRangeEnd w:id="17"/>
      <w:r w:rsidR="00564008">
        <w:rPr>
          <w:rStyle w:val="CommentReference"/>
        </w:rPr>
        <w:commentReference w:id="17"/>
      </w:r>
      <w:r w:rsidR="00564008">
        <w:t xml:space="preserve"> and </w:t>
      </w:r>
      <w:r w:rsidR="00564008" w:rsidRPr="00564008">
        <w:t>regression</w:t>
      </w:r>
      <w:r w:rsidR="00564008">
        <w:t xml:space="preserve"> tree (CART) diagram to classify the characteristics of the houses where elevating is recommended.  </w:t>
      </w:r>
    </w:p>
    <w:p w14:paraId="0BA8AF0F" w14:textId="4180C58A" w:rsidR="00DA0D98" w:rsidRPr="005E44C2" w:rsidRDefault="00DA0D98" w:rsidP="00DA0D98">
      <w:pPr>
        <w:pStyle w:val="Heading2"/>
        <w:rPr>
          <w:rFonts w:cs="Times New Roman"/>
          <w:sz w:val="36"/>
          <w:szCs w:val="36"/>
        </w:rPr>
      </w:pPr>
      <w:r>
        <w:t xml:space="preserve">Analysis of </w:t>
      </w:r>
      <w:r w:rsidR="00564008">
        <w:t>FEMA’s recommendation versus the economic optimal elevation</w:t>
      </w:r>
    </w:p>
    <w:p w14:paraId="6803B438" w14:textId="6AE8294A" w:rsidR="00DA0D98" w:rsidRDefault="005D37FC" w:rsidP="00DA0D98">
      <w:pPr>
        <w:rPr>
          <w:rFonts w:cs="Times New Roman"/>
        </w:rPr>
      </w:pPr>
      <w:r>
        <w:rPr>
          <w:rFonts w:cs="Times New Roman"/>
        </w:rPr>
        <w:t xml:space="preserve">In the following section we compare the optimal elevation with(out) considering the uncertainty in flooding frequency with FEMA’s recommendation (the BFE plus a freeboard of one foot). Figure 13 shows plots the optimal elevation under uncertainty versus FEMA’s recommendation for the set of sample houses discussed in the previous section. </w:t>
      </w:r>
      <w:r w:rsidR="000C3325">
        <w:rPr>
          <w:rFonts w:cs="Times New Roman"/>
        </w:rPr>
        <w:t xml:space="preserve">For almost half of the houses the optimal elevation is higher than FEMA’s recommendation. This means that the homeowner can save more money in the expected damages by raising the hose by couple of feet. For around 46% of the houses, the optimal elevation under uncertainty is zero </w:t>
      </w:r>
      <w:r w:rsidR="007158F0">
        <w:rPr>
          <w:rFonts w:cs="Times New Roman"/>
        </w:rPr>
        <w:t xml:space="preserve">but FEMA recommends elevating this house. A </w:t>
      </w:r>
      <w:proofErr w:type="spellStart"/>
      <w:r w:rsidR="007158F0">
        <w:rPr>
          <w:rFonts w:cs="Times New Roman"/>
        </w:rPr>
        <w:t>sampel</w:t>
      </w:r>
      <w:proofErr w:type="spellEnd"/>
      <w:r w:rsidR="007158F0">
        <w:rPr>
          <w:rFonts w:cs="Times New Roman"/>
        </w:rPr>
        <w:t xml:space="preserve"> house is presented in figure 11. Finally, in about 4% of the houses, the optimal elevation is less than FEMA’s recommendation. </w:t>
      </w:r>
      <w:r w:rsidR="005E2910">
        <w:rPr>
          <w:rFonts w:cs="Times New Roman"/>
        </w:rPr>
        <w:t xml:space="preserve">In all the cases, the optimal elevation passes the cost-benefit </w:t>
      </w:r>
      <w:proofErr w:type="gramStart"/>
      <w:r w:rsidR="005E2910">
        <w:rPr>
          <w:rFonts w:cs="Times New Roman"/>
        </w:rPr>
        <w:t>test</w:t>
      </w:r>
      <w:proofErr w:type="gramEnd"/>
      <w:r w:rsidR="005E2910">
        <w:rPr>
          <w:rFonts w:cs="Times New Roman"/>
        </w:rPr>
        <w:t xml:space="preserve"> but this is not the case for FEMA’s recommendation. Houses where FEMA’s </w:t>
      </w:r>
      <w:r w:rsidR="005E2910">
        <w:rPr>
          <w:rFonts w:cs="Times New Roman"/>
        </w:rPr>
        <w:lastRenderedPageBreak/>
        <w:t>recommendation does not pass the test are denoted by red dots in figure 13. The CART diagram shown in figure 14 classifies the characteristics of the hoses where FEMA does not pass the cost-benefit test (benefit-to-cost ratio is less than one)</w:t>
      </w:r>
      <w:r w:rsidR="004D2D2F">
        <w:rPr>
          <w:rFonts w:cs="Times New Roman"/>
        </w:rPr>
        <w:t xml:space="preserve"> Based on this classification houses whose initial elevation is close to the BFE are more likely not to pass the b-c test for FEMA’s recommendation. The threshold estimated by the CART method is 4.7. Thus, if a house is less that 4.7 below the base flood elevation is more likely not pass FEMA’s recommendation from a b-c test</w:t>
      </w:r>
      <w:r w:rsidR="00934C46">
        <w:rPr>
          <w:rFonts w:cs="Times New Roman"/>
        </w:rPr>
        <w:t>.</w:t>
      </w:r>
    </w:p>
    <w:p w14:paraId="5DBA6700" w14:textId="1F98FE8E" w:rsidR="005D37FC" w:rsidRPr="007463D4" w:rsidRDefault="005D37FC" w:rsidP="00DA0D98">
      <w:pPr>
        <w:rPr>
          <w:rFonts w:cs="Times New Roman"/>
        </w:rPr>
      </w:pPr>
      <w:r w:rsidRPr="005D37FC">
        <w:rPr>
          <w:rFonts w:cs="Times New Roman"/>
          <w:noProof/>
        </w:rPr>
        <w:drawing>
          <wp:inline distT="0" distB="0" distL="0" distR="0" wp14:anchorId="4B6A4B2D" wp14:editId="144B49A8">
            <wp:extent cx="3813048" cy="3813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6617" cy="3816617"/>
                    </a:xfrm>
                    <a:prstGeom prst="rect">
                      <a:avLst/>
                    </a:prstGeom>
                  </pic:spPr>
                </pic:pic>
              </a:graphicData>
            </a:graphic>
          </wp:inline>
        </w:drawing>
      </w:r>
    </w:p>
    <w:p w14:paraId="4CB76C24" w14:textId="4BED9C03" w:rsidR="00DA0D98" w:rsidRPr="007463D4" w:rsidRDefault="00DA0D98" w:rsidP="000C3325">
      <w:pPr>
        <w:pStyle w:val="NoSpacing"/>
        <w:rPr>
          <w:rFonts w:cs="Times New Roman"/>
        </w:rPr>
      </w:pPr>
      <w:r w:rsidRPr="007463D4">
        <w:t xml:space="preserve"> </w:t>
      </w:r>
      <w:r w:rsidR="005D37FC">
        <w:t xml:space="preserve">Figure 13: The economic optimal elevation versus FEMA’s recommendation (the BFE plus a freeboard of one foot). Each dot represents a house. Red dots indicate that FEMA’s recommended policy does not pass the cost-benefit test (i.e. the benefit is less that the cost). The diagonal green line is the 1:1 line. </w:t>
      </w:r>
    </w:p>
    <w:p w14:paraId="33BC81D0" w14:textId="01359B40" w:rsidR="00DA0D98" w:rsidRDefault="005E2910" w:rsidP="00DA0D98">
      <w:r w:rsidRPr="005E2910">
        <w:rPr>
          <w:noProof/>
        </w:rPr>
        <w:lastRenderedPageBreak/>
        <w:drawing>
          <wp:inline distT="0" distB="0" distL="0" distR="0" wp14:anchorId="46B11164" wp14:editId="0C1448B2">
            <wp:extent cx="5943600" cy="4263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63390"/>
                    </a:xfrm>
                    <a:prstGeom prst="rect">
                      <a:avLst/>
                    </a:prstGeom>
                  </pic:spPr>
                </pic:pic>
              </a:graphicData>
            </a:graphic>
          </wp:inline>
        </w:drawing>
      </w:r>
    </w:p>
    <w:p w14:paraId="61CCCF25" w14:textId="535B5D72" w:rsidR="00DA0D98" w:rsidRPr="003F2986" w:rsidRDefault="005E2910" w:rsidP="003F2986">
      <w:pPr>
        <w:pStyle w:val="NoSpacing"/>
      </w:pPr>
      <w:r>
        <w:t xml:space="preserve">Figure 14: The CART diagram to classify the characteristics of </w:t>
      </w:r>
      <w:r w:rsidR="004D2D2F">
        <w:t>houses</w:t>
      </w:r>
      <w:r>
        <w:t xml:space="preserve"> where FEMA does not pass the cost-benefit </w:t>
      </w:r>
      <w:commentRangeStart w:id="18"/>
      <w:r>
        <w:t>test</w:t>
      </w:r>
      <w:commentRangeEnd w:id="18"/>
      <w:r w:rsidR="003F2986">
        <w:rPr>
          <w:rStyle w:val="CommentReference"/>
        </w:rPr>
        <w:commentReference w:id="18"/>
      </w:r>
      <w:r>
        <w:t xml:space="preserve">. </w:t>
      </w:r>
    </w:p>
    <w:p w14:paraId="24F41B8C" w14:textId="402F700A" w:rsidR="00DA0D98" w:rsidRPr="002C3622" w:rsidRDefault="00DA0D98" w:rsidP="00DA0D98">
      <w:pPr>
        <w:pStyle w:val="Heading1"/>
        <w:rPr>
          <w:sz w:val="48"/>
          <w:szCs w:val="48"/>
        </w:rPr>
      </w:pPr>
      <w:r w:rsidRPr="007463D4">
        <w:t>Discussion</w:t>
      </w:r>
      <w:r>
        <w:t xml:space="preserve"> and conclusion</w:t>
      </w:r>
    </w:p>
    <w:p w14:paraId="6BBC15E7" w14:textId="41E339A6" w:rsidR="004343B6" w:rsidRPr="00090947" w:rsidRDefault="00090947" w:rsidP="004343B6">
      <w:pPr>
        <w:rPr>
          <w:rFonts w:cs="Times New Roman"/>
          <w:color w:val="auto"/>
          <w:szCs w:val="24"/>
        </w:rPr>
      </w:pPr>
      <w:r>
        <w:t>One common flood risk mitigation strategy is e</w:t>
      </w:r>
      <w:r w:rsidR="002C3622" w:rsidRPr="005D38AE">
        <w:t xml:space="preserve">levating </w:t>
      </w:r>
      <w:r>
        <w:t>houses</w:t>
      </w:r>
      <w:r w:rsidR="002C3622" w:rsidRPr="005D38AE">
        <w:t>. The United States Federal Emergency Management Agency (FEMA) recommends elevating houses to at least one foot above the Base Flood Elevation (BFE), the water elevation associated with the 100-year flood. This recommendation still leaves open the question whether (and if so by how much) to elevate the houses. This problem is typically addressed in a single objective cost-benefit framework that often neglects key uncertainties.  Here we use a multi-objective decision analysis that considers key deep uncertainties. We show how considering uncertainty changes the trade-offs and the acceptable decisions and identify the key drivers of poor outcomes.</w:t>
      </w:r>
      <w:r>
        <w:rPr>
          <w:rFonts w:cs="Times New Roman"/>
          <w:color w:val="auto"/>
          <w:szCs w:val="24"/>
        </w:rPr>
        <w:t xml:space="preserve"> </w:t>
      </w:r>
      <w:r w:rsidR="004343B6">
        <w:t xml:space="preserve">The main </w:t>
      </w:r>
      <w:r>
        <w:t>conclusions</w:t>
      </w:r>
      <w:r w:rsidR="004343B6">
        <w:t xml:space="preserve"> </w:t>
      </w:r>
      <w:r>
        <w:t>of</w:t>
      </w:r>
      <w:r w:rsidR="004343B6">
        <w:t xml:space="preserve"> this </w:t>
      </w:r>
      <w:r>
        <w:t>study</w:t>
      </w:r>
      <w:r w:rsidR="004343B6">
        <w:t xml:space="preserve"> include:</w:t>
      </w:r>
    </w:p>
    <w:p w14:paraId="5C87E6AE" w14:textId="04125CEA" w:rsidR="004343B6" w:rsidRDefault="00090947" w:rsidP="00EF3C38">
      <w:pPr>
        <w:pStyle w:val="ListParagraph"/>
        <w:numPr>
          <w:ilvl w:val="0"/>
          <w:numId w:val="12"/>
        </w:numPr>
      </w:pPr>
      <w:r>
        <w:lastRenderedPageBreak/>
        <w:t>Considering</w:t>
      </w:r>
      <w:r w:rsidR="004343B6">
        <w:t xml:space="preserve"> </w:t>
      </w:r>
      <w:r>
        <w:t>uncertainty</w:t>
      </w:r>
      <w:r w:rsidR="004343B6">
        <w:t xml:space="preserve"> leads to higher expected damages in riverine flood</w:t>
      </w:r>
      <w:r>
        <w:t>-</w:t>
      </w:r>
      <w:r w:rsidR="004343B6">
        <w:t>prone communities</w:t>
      </w:r>
      <w:r>
        <w:t xml:space="preserve"> which in turn leads to </w:t>
      </w:r>
      <w:r w:rsidR="004343B6">
        <w:t xml:space="preserve">higher optimal elevation. </w:t>
      </w:r>
      <w:r>
        <w:t xml:space="preserve">Additionally, considering uncertainty of flooding frequency might change the decision outcome. </w:t>
      </w:r>
    </w:p>
    <w:p w14:paraId="4ED5DB6B" w14:textId="0146A88F" w:rsidR="004343B6" w:rsidRDefault="00090947" w:rsidP="00EF3C38">
      <w:pPr>
        <w:pStyle w:val="ListParagraph"/>
        <w:numPr>
          <w:ilvl w:val="0"/>
          <w:numId w:val="12"/>
        </w:numPr>
      </w:pPr>
      <w:r>
        <w:t>Amongst</w:t>
      </w:r>
      <w:r w:rsidR="004343B6">
        <w:t xml:space="preserve"> house characteristics such as house value, size, lifespan, and elevation, elevation with respect to the base flood </w:t>
      </w:r>
      <w:r>
        <w:t>elevation</w:t>
      </w:r>
      <w:r w:rsidR="004343B6">
        <w:t xml:space="preserve"> plays </w:t>
      </w:r>
      <w:r>
        <w:t>the most</w:t>
      </w:r>
      <w:r w:rsidR="004343B6">
        <w:t xml:space="preserve"> important role in making the decision of </w:t>
      </w:r>
      <w:r>
        <w:t>elevating</w:t>
      </w:r>
      <w:r w:rsidR="004343B6">
        <w:t xml:space="preserve"> a house or not and if yes, how much</w:t>
      </w:r>
      <w:r>
        <w:t>.</w:t>
      </w:r>
    </w:p>
    <w:p w14:paraId="6BED8C8A" w14:textId="4F83259E" w:rsidR="004343B6" w:rsidRDefault="004343B6" w:rsidP="00EF3C38">
      <w:pPr>
        <w:pStyle w:val="ListParagraph"/>
        <w:numPr>
          <w:ilvl w:val="0"/>
          <w:numId w:val="12"/>
        </w:numPr>
      </w:pPr>
      <w:r>
        <w:t>FEMA’s recommended heightening policy (elevating to the base flood elevation plus a foot of free board) is not always cost optimal</w:t>
      </w:r>
      <w:r w:rsidR="00090947">
        <w:t xml:space="preserve">. For majority of the houses, if the homeowner raises the house a couple of feet above FEMA’s recommendation, significantly more money will be saved in the expected damages. On the other hand, in many houses (mainly those whose lowest elevation is close to the base flood elevation), raising the house is neither cost-optimal nor cost-effective while FEMA still recommends elevating. </w:t>
      </w:r>
    </w:p>
    <w:p w14:paraId="75470978" w14:textId="79FEA38E" w:rsidR="00090947" w:rsidRDefault="00090947" w:rsidP="00EF3C38">
      <w:pPr>
        <w:pStyle w:val="ListParagraph"/>
        <w:numPr>
          <w:ilvl w:val="0"/>
          <w:numId w:val="12"/>
        </w:numPr>
      </w:pPr>
      <w:r>
        <w:t xml:space="preserve">An open-source code is distributed along the paper for estimation of flood </w:t>
      </w:r>
      <w:r w:rsidR="00E80866">
        <w:t>frequency</w:t>
      </w:r>
      <w:r>
        <w:t>, the optimal elevation with(out) uncertainty quantification</w:t>
      </w:r>
      <w:r w:rsidR="00E80866">
        <w:t>, and plotting the trade-offs between four objectives (total cost, upfront cost to house value, safety, and benefit-to-cost ratio)</w:t>
      </w:r>
    </w:p>
    <w:p w14:paraId="38D56A55" w14:textId="49331B33" w:rsidR="00247694" w:rsidRDefault="00247694" w:rsidP="00F03D68">
      <w:r>
        <w:t xml:space="preserve">The results of this study suggest </w:t>
      </w:r>
      <w:r w:rsidR="00F03D68">
        <w:t xml:space="preserve">taking </w:t>
      </w:r>
      <w:r>
        <w:t>house characteristics such as house value, house size, and initial elevation into account to issue elevation recommendation (currently</w:t>
      </w:r>
      <w:r w:rsidR="00F03D68">
        <w:t xml:space="preserve"> FEMA’s recommendation </w:t>
      </w:r>
      <w:r>
        <w:t xml:space="preserve">is only based on the zone and elevation </w:t>
      </w:r>
      <w:proofErr w:type="spellStart"/>
      <w:r>
        <w:t>w.r.t.</w:t>
      </w:r>
      <w:proofErr w:type="spellEnd"/>
      <w:r>
        <w:t xml:space="preserve"> BFE). Also, quantification of uncertainty in flooding frequency should be </w:t>
      </w:r>
      <w:r w:rsidR="00F03D68">
        <w:t>considered. In many cases, the h</w:t>
      </w:r>
      <w:r>
        <w:t>omeowners can save</w:t>
      </w:r>
      <w:r w:rsidR="00F03D68">
        <w:t xml:space="preserve"> considerably </w:t>
      </w:r>
      <w:r>
        <w:t xml:space="preserve">more in </w:t>
      </w:r>
      <w:r w:rsidR="00F03D68">
        <w:t xml:space="preserve">future </w:t>
      </w:r>
      <w:r>
        <w:t>expected damages</w:t>
      </w:r>
      <w:r w:rsidR="00F03D68">
        <w:t xml:space="preserve"> if they raise the house by a couple of feet more now. The accompanied code is accessible by a variety of audience from homeowners to researchers and FEMA as a guideline for estimation of optimal elevation under uncertainty. </w:t>
      </w:r>
    </w:p>
    <w:p w14:paraId="131D069F" w14:textId="3847EC2E" w:rsidR="004343B6" w:rsidRDefault="00011CA1" w:rsidP="004343B6">
      <w:proofErr w:type="spellStart"/>
      <w:r>
        <w:t>Limitaitons</w:t>
      </w:r>
      <w:proofErr w:type="spellEnd"/>
      <w:r>
        <w:t xml:space="preserve"> and future extensions </w:t>
      </w:r>
      <w:r w:rsidR="004343B6">
        <w:t>of this study include:</w:t>
      </w:r>
    </w:p>
    <w:p w14:paraId="1255057B" w14:textId="4AA4B5E7" w:rsidR="00011CA1" w:rsidRDefault="00011CA1" w:rsidP="00EF3C38">
      <w:pPr>
        <w:pStyle w:val="ListParagraph"/>
        <w:numPr>
          <w:ilvl w:val="0"/>
          <w:numId w:val="13"/>
        </w:numPr>
      </w:pPr>
      <w:r>
        <w:t xml:space="preserve">Insurance dimension paly san </w:t>
      </w:r>
      <w:proofErr w:type="spellStart"/>
      <w:r>
        <w:t>importna</w:t>
      </w:r>
      <w:proofErr w:type="spellEnd"/>
      <w:r>
        <w:t xml:space="preserve"> </w:t>
      </w:r>
      <w:proofErr w:type="spellStart"/>
      <w:r>
        <w:t>trole</w:t>
      </w:r>
      <w:proofErr w:type="spellEnd"/>
      <w:r>
        <w:t xml:space="preserve"> in elevating houses which is ignored in this study</w:t>
      </w:r>
      <w:r w:rsidR="004343B6">
        <w:t>.</w:t>
      </w:r>
      <w:r>
        <w:t xml:space="preserve"> Accounting for insurance premiums and the amount of money the homeowner can save by elevating the house is an </w:t>
      </w:r>
      <w:proofErr w:type="gramStart"/>
      <w:r>
        <w:t>important questions</w:t>
      </w:r>
      <w:proofErr w:type="gramEnd"/>
      <w:r>
        <w:t xml:space="preserve"> that need to be answer in future extensions of this work.</w:t>
      </w:r>
      <w:r w:rsidR="00495573">
        <w:t xml:space="preserve"> The cost of construction with and without insurance would be different. The cost of construction depends if the money comes out of pocket or is from federal funds.</w:t>
      </w:r>
    </w:p>
    <w:p w14:paraId="2BE34DBD" w14:textId="3F4C1D5A" w:rsidR="00495573" w:rsidRDefault="00495573" w:rsidP="00EF3C38">
      <w:pPr>
        <w:pStyle w:val="ListParagraph"/>
        <w:numPr>
          <w:ilvl w:val="0"/>
          <w:numId w:val="13"/>
        </w:numPr>
      </w:pPr>
      <w:r>
        <w:lastRenderedPageBreak/>
        <w:t xml:space="preserve">Cost of construction estimates are </w:t>
      </w:r>
      <w:proofErr w:type="gramStart"/>
      <w:r>
        <w:t>uncertain</w:t>
      </w:r>
      <w:proofErr w:type="gramEnd"/>
      <w:r>
        <w:t xml:space="preserve"> and this uncertainty is not considered in this study. The cost of </w:t>
      </w:r>
      <w:proofErr w:type="spellStart"/>
      <w:r>
        <w:t>construviton</w:t>
      </w:r>
      <w:proofErr w:type="spellEnd"/>
      <w:r>
        <w:t xml:space="preserve"> estimates are old and are for the state of </w:t>
      </w:r>
      <w:proofErr w:type="spellStart"/>
      <w:r>
        <w:t>Luisiana</w:t>
      </w:r>
      <w:proofErr w:type="spellEnd"/>
      <w:r>
        <w:t>.</w:t>
      </w:r>
    </w:p>
    <w:p w14:paraId="660ED844" w14:textId="4530B05A" w:rsidR="00495573" w:rsidRDefault="00495573" w:rsidP="00EF3C38">
      <w:pPr>
        <w:pStyle w:val="ListParagraph"/>
        <w:numPr>
          <w:ilvl w:val="0"/>
          <w:numId w:val="13"/>
        </w:numPr>
      </w:pPr>
      <w:r>
        <w:t>House material is also an important factor in the cost of construction which is not considered in this study.</w:t>
      </w:r>
    </w:p>
    <w:p w14:paraId="4634407D" w14:textId="464DC805" w:rsidR="00011CA1" w:rsidRDefault="004C6151" w:rsidP="00EF3C38">
      <w:pPr>
        <w:pStyle w:val="ListParagraph"/>
        <w:numPr>
          <w:ilvl w:val="0"/>
          <w:numId w:val="13"/>
        </w:numPr>
      </w:pPr>
      <w:r>
        <w:t xml:space="preserve">The added value to the house price after elevating the house is </w:t>
      </w:r>
      <w:proofErr w:type="spellStart"/>
      <w:r>
        <w:t>ignoired</w:t>
      </w:r>
      <w:proofErr w:type="spellEnd"/>
    </w:p>
    <w:p w14:paraId="4801F219" w14:textId="644E6A1C" w:rsidR="004343B6" w:rsidRDefault="004C6151" w:rsidP="00EF3C38">
      <w:pPr>
        <w:pStyle w:val="ListParagraph"/>
        <w:numPr>
          <w:ilvl w:val="0"/>
          <w:numId w:val="13"/>
        </w:numPr>
      </w:pPr>
      <w:r>
        <w:t xml:space="preserve">Just one depth-damage </w:t>
      </w:r>
      <w:proofErr w:type="spellStart"/>
      <w:r>
        <w:t>funcrion</w:t>
      </w:r>
      <w:proofErr w:type="spellEnd"/>
      <w:r>
        <w:t xml:space="preserve"> is used and the uncertainty in the depth-damage function is ignored.</w:t>
      </w:r>
    </w:p>
    <w:p w14:paraId="1D3D355C" w14:textId="77777777" w:rsidR="00495573" w:rsidRDefault="00495573" w:rsidP="00495573">
      <w:pPr>
        <w:pStyle w:val="ListParagraph"/>
        <w:numPr>
          <w:ilvl w:val="0"/>
          <w:numId w:val="13"/>
        </w:numPr>
      </w:pPr>
      <w:r>
        <w:t>Real house data are not used</w:t>
      </w:r>
    </w:p>
    <w:p w14:paraId="43D19982" w14:textId="5EC78128" w:rsidR="00DA0D98" w:rsidRDefault="00495573" w:rsidP="002C3622">
      <w:pPr>
        <w:pStyle w:val="ListParagraph"/>
        <w:numPr>
          <w:ilvl w:val="0"/>
          <w:numId w:val="13"/>
        </w:numPr>
      </w:pPr>
      <w:r>
        <w:t xml:space="preserve">Other mitigation strategies such as filling the basement and/or adding vents are not considered in this study. An extension of this work will </w:t>
      </w:r>
      <w:proofErr w:type="gramStart"/>
      <w:r>
        <w:t>considering</w:t>
      </w:r>
      <w:proofErr w:type="gramEnd"/>
      <w:r>
        <w:t xml:space="preserve"> other mitigation strategies as well as elevating. </w:t>
      </w:r>
    </w:p>
    <w:p w14:paraId="26B2D511" w14:textId="5B22E1ED" w:rsidR="001D586C" w:rsidRDefault="001D586C" w:rsidP="002C3622">
      <w:pPr>
        <w:pStyle w:val="ListParagraph"/>
        <w:numPr>
          <w:ilvl w:val="0"/>
          <w:numId w:val="13"/>
        </w:numPr>
      </w:pPr>
      <w:r>
        <w:t xml:space="preserve">Discounting rate is considered to be constant which is not the case in reality. </w:t>
      </w:r>
    </w:p>
    <w:p w14:paraId="644233D0" w14:textId="39BAECD8" w:rsidR="001D586C" w:rsidRDefault="001D586C" w:rsidP="002C3622">
      <w:pPr>
        <w:pStyle w:val="ListParagraph"/>
        <w:numPr>
          <w:ilvl w:val="0"/>
          <w:numId w:val="13"/>
        </w:numPr>
      </w:pPr>
      <w:r>
        <w:t>Non-stationarity of flooding frequency due to climate change is ignored</w:t>
      </w:r>
    </w:p>
    <w:p w14:paraId="531CE77F" w14:textId="4412AF3C" w:rsidR="001D586C" w:rsidRDefault="001D586C" w:rsidP="002C3622">
      <w:pPr>
        <w:pStyle w:val="ListParagraph"/>
        <w:numPr>
          <w:ilvl w:val="0"/>
          <w:numId w:val="13"/>
        </w:numPr>
      </w:pPr>
      <w:r>
        <w:t>The length of the loan which is usually 30 years is ignored</w:t>
      </w:r>
    </w:p>
    <w:p w14:paraId="1BD95D00" w14:textId="32FD344B" w:rsidR="001D586C" w:rsidRDefault="00BE7F2F" w:rsidP="002C3622">
      <w:pPr>
        <w:pStyle w:val="ListParagraph"/>
        <w:numPr>
          <w:ilvl w:val="0"/>
          <w:numId w:val="13"/>
        </w:numPr>
      </w:pPr>
      <w:proofErr w:type="spellStart"/>
      <w:r>
        <w:t>Lifesopan</w:t>
      </w:r>
      <w:proofErr w:type="spellEnd"/>
      <w:r>
        <w:t xml:space="preserve"> should be considered as one of the uncertainties</w:t>
      </w:r>
    </w:p>
    <w:p w14:paraId="36CBFBAF" w14:textId="7BB71C3E" w:rsidR="00BE7F2F" w:rsidRDefault="00BE7F2F" w:rsidP="002C3622">
      <w:pPr>
        <w:pStyle w:val="ListParagraph"/>
        <w:numPr>
          <w:ilvl w:val="0"/>
          <w:numId w:val="13"/>
        </w:numPr>
      </w:pPr>
      <w:r>
        <w:t xml:space="preserve">We ignore the fact that in most of the cases the homeowner </w:t>
      </w:r>
    </w:p>
    <w:p w14:paraId="3AC374A1" w14:textId="4EA32611" w:rsidR="00987DC7" w:rsidRDefault="00987DC7" w:rsidP="002C3622">
      <w:pPr>
        <w:pStyle w:val="ListParagraph"/>
        <w:numPr>
          <w:ilvl w:val="0"/>
          <w:numId w:val="13"/>
        </w:numPr>
      </w:pPr>
      <w:r>
        <w:t xml:space="preserve">Other uncertainties are ignored. </w:t>
      </w:r>
    </w:p>
    <w:p w14:paraId="5AFAED49" w14:textId="04638C01" w:rsidR="00DA0D98" w:rsidRDefault="00247694" w:rsidP="00DA0D98">
      <w:pPr>
        <w:pStyle w:val="Heading1"/>
      </w:pPr>
      <w:r>
        <w:t xml:space="preserve">   </w:t>
      </w:r>
      <w:r w:rsidR="00DA0D98">
        <w:t>Code and data availability</w:t>
      </w:r>
    </w:p>
    <w:p w14:paraId="676DFA49" w14:textId="77777777" w:rsidR="00DA0D98" w:rsidRDefault="00DA0D98" w:rsidP="00DA0D98">
      <w:r>
        <w:t xml:space="preserve">Code and data are distributed under GNU license through the following repository: </w:t>
      </w:r>
    </w:p>
    <w:p w14:paraId="0127AA86" w14:textId="7FE1FDC6" w:rsidR="00DA0D98" w:rsidRDefault="00DA0D98" w:rsidP="00DA0D98">
      <w:pPr>
        <w:pStyle w:val="Heading1"/>
      </w:pPr>
      <w:r>
        <w:t>Acknowledgements</w:t>
      </w:r>
    </w:p>
    <w:p w14:paraId="1BD1871F" w14:textId="7FC903C0" w:rsidR="00732F29" w:rsidRDefault="00732F29" w:rsidP="00732F29">
      <w:r>
        <w:t>Partial funding for this study is provided by PSIRC</w:t>
      </w:r>
    </w:p>
    <w:p w14:paraId="5DA1D250" w14:textId="718D554A" w:rsidR="000A0485" w:rsidRDefault="000A0485" w:rsidP="00732F29">
      <w:r>
        <w:t xml:space="preserve">Thank the Keller research group </w:t>
      </w:r>
    </w:p>
    <w:p w14:paraId="69C58EA6" w14:textId="77777777" w:rsidR="00DA0D98" w:rsidRPr="007463D4" w:rsidRDefault="00DA0D98" w:rsidP="00DA0D98">
      <w:pPr>
        <w:pStyle w:val="Heading1"/>
      </w:pPr>
      <w:r>
        <w:t>Author contribution</w:t>
      </w:r>
    </w:p>
    <w:p w14:paraId="60AD03E1" w14:textId="0163F81F" w:rsidR="00DA0D98" w:rsidRDefault="00E93F19" w:rsidP="00DA0D98">
      <w:r>
        <w:t xml:space="preserve">Mahkameh Zarekarizi and Klaus Keller devised the study. Mahkameh Zarekarizi conducted the study and wrote the initial draft. Both authors revised and edited the manuscript. </w:t>
      </w:r>
    </w:p>
    <w:p w14:paraId="7332766E" w14:textId="77777777" w:rsidR="00E23856" w:rsidRPr="007463D4" w:rsidRDefault="00E23856" w:rsidP="00DA0D98"/>
    <w:p w14:paraId="687AA9C6" w14:textId="77777777" w:rsidR="00DA0D98" w:rsidRPr="007463D4" w:rsidRDefault="00DA0D98" w:rsidP="00DA0D98">
      <w:pPr>
        <w:pStyle w:val="Heading1"/>
        <w:rPr>
          <w:sz w:val="48"/>
          <w:szCs w:val="48"/>
        </w:rPr>
      </w:pPr>
      <w:r w:rsidRPr="007463D4">
        <w:lastRenderedPageBreak/>
        <w:t>References</w:t>
      </w:r>
    </w:p>
    <w:p w14:paraId="17D39765" w14:textId="77777777" w:rsidR="007D3EF7" w:rsidRPr="002D3FF8" w:rsidRDefault="007D3EF7" w:rsidP="0053593A">
      <w:pPr>
        <w:pStyle w:val="ListParagraph"/>
      </w:pPr>
    </w:p>
    <w:p w14:paraId="2B63BE35" w14:textId="77777777" w:rsidR="007D3EF7" w:rsidRPr="00E23856" w:rsidRDefault="007D3EF7" w:rsidP="00E23856">
      <w:pPr>
        <w:pStyle w:val="ListParagraph"/>
        <w:numPr>
          <w:ilvl w:val="0"/>
          <w:numId w:val="16"/>
        </w:numPr>
      </w:pPr>
      <w:proofErr w:type="spellStart"/>
      <w:r w:rsidRPr="00E23856">
        <w:t>Aerts</w:t>
      </w:r>
      <w:proofErr w:type="spellEnd"/>
      <w:r w:rsidRPr="00E23856">
        <w:t xml:space="preserve">, J.C.J.H., Barnard, P.L., </w:t>
      </w:r>
      <w:proofErr w:type="spellStart"/>
      <w:r w:rsidRPr="00E23856">
        <w:t>Botzen</w:t>
      </w:r>
      <w:proofErr w:type="spellEnd"/>
      <w:r w:rsidRPr="00E23856">
        <w:t xml:space="preserve">, W., </w:t>
      </w:r>
      <w:proofErr w:type="spellStart"/>
      <w:r w:rsidRPr="00E23856">
        <w:t>Grifman</w:t>
      </w:r>
      <w:proofErr w:type="spellEnd"/>
      <w:r w:rsidRPr="00E23856">
        <w:t xml:space="preserve">, P., Hart, J.F., De </w:t>
      </w:r>
      <w:proofErr w:type="spellStart"/>
      <w:r w:rsidRPr="00E23856">
        <w:t>Moel</w:t>
      </w:r>
      <w:proofErr w:type="spellEnd"/>
      <w:r w:rsidRPr="00E23856">
        <w:t xml:space="preserve">, H., Mann, A.N., de </w:t>
      </w:r>
      <w:proofErr w:type="spellStart"/>
      <w:r w:rsidRPr="00E23856">
        <w:t>Ruig</w:t>
      </w:r>
      <w:proofErr w:type="spellEnd"/>
      <w:r w:rsidRPr="00E23856">
        <w:t xml:space="preserve">, L.T., </w:t>
      </w:r>
      <w:proofErr w:type="spellStart"/>
      <w:r w:rsidRPr="00E23856">
        <w:t>Sadrpour</w:t>
      </w:r>
      <w:proofErr w:type="spellEnd"/>
      <w:r w:rsidRPr="00E23856">
        <w:t>, N., 2018. Pathways to resilience: adapting to sea level rise in Los Angeles. Ann. N. Y. Acad. Sci. 1427, 1–90. https://doi.org/10.1111/nyas.13917</w:t>
      </w:r>
    </w:p>
    <w:p w14:paraId="2C84B9CB" w14:textId="77777777" w:rsidR="007D3EF7" w:rsidRPr="00E23856" w:rsidRDefault="007D3EF7" w:rsidP="00E23856">
      <w:pPr>
        <w:pStyle w:val="ListParagraph"/>
        <w:numPr>
          <w:ilvl w:val="0"/>
          <w:numId w:val="16"/>
        </w:numPr>
      </w:pPr>
      <w:proofErr w:type="spellStart"/>
      <w:r w:rsidRPr="00E23856">
        <w:t>Apel</w:t>
      </w:r>
      <w:proofErr w:type="spellEnd"/>
      <w:r w:rsidRPr="00E23856">
        <w:t xml:space="preserve">, H., </w:t>
      </w:r>
      <w:proofErr w:type="spellStart"/>
      <w:r w:rsidRPr="00E23856">
        <w:t>Thieken</w:t>
      </w:r>
      <w:proofErr w:type="spellEnd"/>
      <w:r w:rsidRPr="00E23856">
        <w:t xml:space="preserve">, A.H., Merz, B., </w:t>
      </w:r>
      <w:proofErr w:type="spellStart"/>
      <w:r w:rsidRPr="00E23856">
        <w:t>Blöschl</w:t>
      </w:r>
      <w:proofErr w:type="spellEnd"/>
      <w:r w:rsidRPr="00E23856">
        <w:t>, G., 2004. Union.</w:t>
      </w:r>
    </w:p>
    <w:p w14:paraId="7AD85F9C" w14:textId="77777777" w:rsidR="007D3EF7" w:rsidRDefault="007D3EF7" w:rsidP="002D3FF8">
      <w:pPr>
        <w:pStyle w:val="ListParagraph"/>
        <w:numPr>
          <w:ilvl w:val="0"/>
          <w:numId w:val="16"/>
        </w:numPr>
      </w:pPr>
      <w:r w:rsidRPr="000C67B1">
        <w:t xml:space="preserve">Ceres, R.L., Forest, C.E., Keller, K., 2019. Optimization of multiple storm surge risk mitigation strategies for an island City </w:t>
      </w:r>
      <w:proofErr w:type="gramStart"/>
      <w:r w:rsidRPr="000C67B1">
        <w:t>On</w:t>
      </w:r>
      <w:proofErr w:type="gramEnd"/>
      <w:r w:rsidRPr="000C67B1">
        <w:t xml:space="preserve"> a Wedge. Environ. Model. </w:t>
      </w:r>
      <w:proofErr w:type="spellStart"/>
      <w:r w:rsidRPr="000C67B1">
        <w:t>Softw</w:t>
      </w:r>
      <w:proofErr w:type="spellEnd"/>
      <w:r w:rsidRPr="000C67B1">
        <w:t xml:space="preserve">. 119, 341–353. </w:t>
      </w:r>
      <w:hyperlink r:id="rId31" w:history="1">
        <w:r w:rsidRPr="001C1AE2">
          <w:rPr>
            <w:rStyle w:val="Hyperlink"/>
          </w:rPr>
          <w:t>https://doi.org/10.1016/j.envsoft.2019.06.011</w:t>
        </w:r>
      </w:hyperlink>
    </w:p>
    <w:p w14:paraId="59D8CCB8" w14:textId="77777777" w:rsidR="007D3EF7" w:rsidRPr="00E23856" w:rsidRDefault="007D3EF7" w:rsidP="00E23856">
      <w:pPr>
        <w:pStyle w:val="ListParagraph"/>
        <w:numPr>
          <w:ilvl w:val="0"/>
          <w:numId w:val="16"/>
        </w:numPr>
      </w:pPr>
      <w:r w:rsidRPr="00E23856">
        <w:t xml:space="preserve">Coles, S., 2001. An </w:t>
      </w:r>
      <w:proofErr w:type="spellStart"/>
      <w:r w:rsidRPr="00E23856">
        <w:t>introduciton</w:t>
      </w:r>
      <w:proofErr w:type="spellEnd"/>
      <w:r w:rsidRPr="00E23856">
        <w:t xml:space="preserve"> to statistical modeling of extreme values, An </w:t>
      </w:r>
      <w:proofErr w:type="spellStart"/>
      <w:r w:rsidRPr="00E23856">
        <w:t>introduciton</w:t>
      </w:r>
      <w:proofErr w:type="spellEnd"/>
      <w:r w:rsidRPr="00E23856">
        <w:t xml:space="preserve"> to statistical modeling of extreme values.</w:t>
      </w:r>
    </w:p>
    <w:p w14:paraId="6D32A228" w14:textId="77777777" w:rsidR="007D3EF7" w:rsidRPr="00E23856" w:rsidRDefault="007D3EF7" w:rsidP="00E23856">
      <w:pPr>
        <w:pStyle w:val="ListParagraph"/>
        <w:numPr>
          <w:ilvl w:val="0"/>
          <w:numId w:val="16"/>
        </w:numPr>
      </w:pPr>
      <w:proofErr w:type="spellStart"/>
      <w:r w:rsidRPr="00E23856">
        <w:t>Czajkowski</w:t>
      </w:r>
      <w:proofErr w:type="spellEnd"/>
      <w:r w:rsidRPr="00E23856">
        <w:t xml:space="preserve">, J., </w:t>
      </w:r>
      <w:proofErr w:type="spellStart"/>
      <w:r w:rsidRPr="00E23856">
        <w:t>Kunreuther</w:t>
      </w:r>
      <w:proofErr w:type="spellEnd"/>
      <w:r w:rsidRPr="00E23856">
        <w:t>, H., Michel-</w:t>
      </w:r>
      <w:proofErr w:type="spellStart"/>
      <w:r w:rsidRPr="00E23856">
        <w:t>Kerjan</w:t>
      </w:r>
      <w:proofErr w:type="spellEnd"/>
      <w:r w:rsidRPr="00E23856">
        <w:t>, E., 2013. Quantifying Riverine and Storm-Surge Flood Risk by Single-Family Residence: Application to Texas. Risk Anal. 33, 2092–2110. https://doi.org/10.1111/risa.12068</w:t>
      </w:r>
    </w:p>
    <w:p w14:paraId="4A83C746" w14:textId="77777777" w:rsidR="007D3EF7" w:rsidRPr="00E23856" w:rsidRDefault="007D3EF7" w:rsidP="00E23856">
      <w:pPr>
        <w:pStyle w:val="ListParagraph"/>
        <w:numPr>
          <w:ilvl w:val="0"/>
          <w:numId w:val="16"/>
        </w:numPr>
      </w:pPr>
      <w:r w:rsidRPr="00E23856">
        <w:t xml:space="preserve">de </w:t>
      </w:r>
      <w:proofErr w:type="spellStart"/>
      <w:r w:rsidRPr="00E23856">
        <w:t>Moel</w:t>
      </w:r>
      <w:proofErr w:type="spellEnd"/>
      <w:r w:rsidRPr="00E23856">
        <w:t xml:space="preserve">, H., van Vliet, M., </w:t>
      </w:r>
      <w:proofErr w:type="spellStart"/>
      <w:r w:rsidRPr="00E23856">
        <w:t>Aerts</w:t>
      </w:r>
      <w:proofErr w:type="spellEnd"/>
      <w:r w:rsidRPr="00E23856">
        <w:t xml:space="preserve">, J.C.J.H., 2014. Evaluating the effect of flood damage-reducing measures: A case study of the </w:t>
      </w:r>
      <w:proofErr w:type="spellStart"/>
      <w:r w:rsidRPr="00E23856">
        <w:t>unembanked</w:t>
      </w:r>
      <w:proofErr w:type="spellEnd"/>
      <w:r w:rsidRPr="00E23856">
        <w:t xml:space="preserve"> area of Rotterdam, the Netherlands. Reg. Environ. Chang. https://doi.org/10.1007/s10113-013-0420-z</w:t>
      </w:r>
    </w:p>
    <w:p w14:paraId="3C80B441" w14:textId="77777777" w:rsidR="007D3EF7" w:rsidRPr="00E23856" w:rsidRDefault="007D3EF7" w:rsidP="00E23856">
      <w:pPr>
        <w:pStyle w:val="ListParagraph"/>
        <w:numPr>
          <w:ilvl w:val="0"/>
          <w:numId w:val="16"/>
        </w:numPr>
      </w:pPr>
      <w:r w:rsidRPr="00E23856">
        <w:t xml:space="preserve">de </w:t>
      </w:r>
      <w:proofErr w:type="spellStart"/>
      <w:r w:rsidRPr="00E23856">
        <w:t>Ruig</w:t>
      </w:r>
      <w:proofErr w:type="spellEnd"/>
      <w:r w:rsidRPr="00E23856">
        <w:t xml:space="preserve">, L.T., </w:t>
      </w:r>
      <w:proofErr w:type="spellStart"/>
      <w:r w:rsidRPr="00E23856">
        <w:t>Haer</w:t>
      </w:r>
      <w:proofErr w:type="spellEnd"/>
      <w:r w:rsidRPr="00E23856">
        <w:t xml:space="preserve">, T., De </w:t>
      </w:r>
      <w:proofErr w:type="spellStart"/>
      <w:r w:rsidRPr="00E23856">
        <w:t>Moel</w:t>
      </w:r>
      <w:proofErr w:type="spellEnd"/>
      <w:r w:rsidRPr="00E23856">
        <w:t xml:space="preserve">, H., </w:t>
      </w:r>
      <w:proofErr w:type="spellStart"/>
      <w:r w:rsidRPr="00E23856">
        <w:t>Botzen</w:t>
      </w:r>
      <w:proofErr w:type="spellEnd"/>
      <w:r w:rsidRPr="00E23856">
        <w:t xml:space="preserve">, W.J.W., </w:t>
      </w:r>
      <w:proofErr w:type="spellStart"/>
      <w:r w:rsidRPr="00E23856">
        <w:t>Aerts</w:t>
      </w:r>
      <w:proofErr w:type="spellEnd"/>
      <w:r w:rsidRPr="00E23856">
        <w:t xml:space="preserve">, J.C.J.H., 2019. A micro-scale cost-benefit analysis of building-level flood risk adaptation measures in Los Angeles. Water </w:t>
      </w:r>
      <w:proofErr w:type="spellStart"/>
      <w:r w:rsidRPr="00E23856">
        <w:t>Resour</w:t>
      </w:r>
      <w:proofErr w:type="spellEnd"/>
      <w:r w:rsidRPr="00E23856">
        <w:t>. Econ. In review, 100147. https://doi.org/10.1016/j.wre.2019.100147</w:t>
      </w:r>
    </w:p>
    <w:p w14:paraId="308FE3B4" w14:textId="77777777" w:rsidR="007D3EF7" w:rsidRPr="00E23856" w:rsidRDefault="007D3EF7" w:rsidP="00E23856">
      <w:pPr>
        <w:pStyle w:val="ListParagraph"/>
        <w:numPr>
          <w:ilvl w:val="0"/>
          <w:numId w:val="16"/>
        </w:numPr>
      </w:pPr>
      <w:proofErr w:type="spellStart"/>
      <w:r w:rsidRPr="00E23856">
        <w:t>Hadka</w:t>
      </w:r>
      <w:proofErr w:type="spellEnd"/>
      <w:r w:rsidRPr="00E23856">
        <w:t xml:space="preserve">, D., Herman, J., Reed, P., Keller, K., 2015. An open source framework for many-objective robust decision making. Environ. Model. </w:t>
      </w:r>
      <w:proofErr w:type="spellStart"/>
      <w:r w:rsidRPr="00E23856">
        <w:t>Softw</w:t>
      </w:r>
      <w:proofErr w:type="spellEnd"/>
      <w:r w:rsidRPr="00E23856">
        <w:t>. 74, 114–129. https://doi.org/10.1016/J.ENVSOFT.2015.07.014</w:t>
      </w:r>
    </w:p>
    <w:p w14:paraId="1B1F2BD0" w14:textId="77777777" w:rsidR="007D3EF7" w:rsidRPr="00E23856" w:rsidRDefault="007D3EF7" w:rsidP="00E23856">
      <w:pPr>
        <w:pStyle w:val="ListParagraph"/>
        <w:numPr>
          <w:ilvl w:val="0"/>
          <w:numId w:val="16"/>
        </w:numPr>
      </w:pPr>
      <w:proofErr w:type="spellStart"/>
      <w:r w:rsidRPr="00E23856">
        <w:t>Hatzikyriakou</w:t>
      </w:r>
      <w:proofErr w:type="spellEnd"/>
      <w:r w:rsidRPr="00E23856">
        <w:t>, A., Lin, N., Gong, J., Xian, S., Hu, X., Kennedy, A., 2016. Component-Based Vulnerability Analysis for Residential Structures Subjected to Storm Surge Impact from Hurricane Sandy. Nat. Hazards Rev. 17, 05015005. https://doi.org/10.1061/(ASCE)NH.1527-6996.0000205</w:t>
      </w:r>
    </w:p>
    <w:p w14:paraId="15E07F9D" w14:textId="77777777" w:rsidR="007D3EF7" w:rsidRDefault="007D3EF7" w:rsidP="000C67B1">
      <w:pPr>
        <w:pStyle w:val="ListParagraph"/>
        <w:numPr>
          <w:ilvl w:val="0"/>
          <w:numId w:val="16"/>
        </w:numPr>
      </w:pPr>
      <w:r w:rsidRPr="00E23856">
        <w:t xml:space="preserve">Hogan, E., Nicholas, R.E., Keller, K., </w:t>
      </w:r>
      <w:proofErr w:type="spellStart"/>
      <w:r w:rsidRPr="00E23856">
        <w:t>Eilts</w:t>
      </w:r>
      <w:proofErr w:type="spellEnd"/>
      <w:r w:rsidRPr="00E23856">
        <w:t xml:space="preserve">, S., </w:t>
      </w:r>
      <w:proofErr w:type="spellStart"/>
      <w:r w:rsidRPr="00E23856">
        <w:t>Sriver</w:t>
      </w:r>
      <w:proofErr w:type="spellEnd"/>
      <w:r w:rsidRPr="00E23856">
        <w:t xml:space="preserve">, R.L., Hogan, E., Nicholas, R.E., Keller, K., </w:t>
      </w:r>
      <w:proofErr w:type="spellStart"/>
      <w:r w:rsidRPr="00E23856">
        <w:t>Eilts</w:t>
      </w:r>
      <w:proofErr w:type="spellEnd"/>
      <w:r w:rsidRPr="00E23856">
        <w:t xml:space="preserve">, S., </w:t>
      </w:r>
      <w:proofErr w:type="spellStart"/>
      <w:r w:rsidRPr="00E23856">
        <w:t>Sriver</w:t>
      </w:r>
      <w:proofErr w:type="spellEnd"/>
      <w:r w:rsidRPr="00E23856">
        <w:t xml:space="preserve">, R.L., 2019. Representation of U.S. Warm Temperature </w:t>
      </w:r>
      <w:r w:rsidRPr="00E23856">
        <w:lastRenderedPageBreak/>
        <w:t xml:space="preserve">Extremes in Global Climate Model Ensembles. J. </w:t>
      </w:r>
      <w:proofErr w:type="spellStart"/>
      <w:r w:rsidRPr="00E23856">
        <w:t>Clim</w:t>
      </w:r>
      <w:proofErr w:type="spellEnd"/>
      <w:r w:rsidRPr="00E23856">
        <w:t xml:space="preserve">. 32, 2591–2603. </w:t>
      </w:r>
      <w:hyperlink r:id="rId32" w:history="1">
        <w:r w:rsidRPr="001C1AE2">
          <w:rPr>
            <w:rStyle w:val="Hyperlink"/>
          </w:rPr>
          <w:t>https://doi.org/10.1175/JCLI-D-18-0075.1</w:t>
        </w:r>
      </w:hyperlink>
    </w:p>
    <w:p w14:paraId="608C7496" w14:textId="77777777" w:rsidR="007D3EF7" w:rsidRPr="0053593A" w:rsidRDefault="007D3EF7" w:rsidP="0053593A">
      <w:pPr>
        <w:pStyle w:val="ListParagraph"/>
        <w:numPr>
          <w:ilvl w:val="0"/>
          <w:numId w:val="16"/>
        </w:numPr>
      </w:pPr>
      <w:proofErr w:type="spellStart"/>
      <w:r w:rsidRPr="002D3FF8">
        <w:rPr>
          <w:rFonts w:cs="Times New Roman"/>
          <w:color w:val="auto"/>
          <w:szCs w:val="24"/>
        </w:rPr>
        <w:t>Kasprzyk</w:t>
      </w:r>
      <w:proofErr w:type="spellEnd"/>
      <w:r w:rsidRPr="002D3FF8">
        <w:rPr>
          <w:rFonts w:cs="Times New Roman"/>
          <w:color w:val="auto"/>
          <w:szCs w:val="24"/>
        </w:rPr>
        <w:t xml:space="preserve">, J.R., </w:t>
      </w:r>
      <w:proofErr w:type="spellStart"/>
      <w:r w:rsidRPr="002D3FF8">
        <w:rPr>
          <w:rFonts w:cs="Times New Roman"/>
          <w:color w:val="auto"/>
          <w:szCs w:val="24"/>
        </w:rPr>
        <w:t>Nataraj</w:t>
      </w:r>
      <w:proofErr w:type="spellEnd"/>
      <w:r w:rsidRPr="002D3FF8">
        <w:rPr>
          <w:rFonts w:cs="Times New Roman"/>
          <w:color w:val="auto"/>
          <w:szCs w:val="24"/>
        </w:rPr>
        <w:t xml:space="preserve">, S., Reed, P.M., </w:t>
      </w:r>
      <w:proofErr w:type="spellStart"/>
      <w:r w:rsidRPr="002D3FF8">
        <w:rPr>
          <w:rFonts w:cs="Times New Roman"/>
          <w:color w:val="auto"/>
          <w:szCs w:val="24"/>
        </w:rPr>
        <w:t>Lempert</w:t>
      </w:r>
      <w:proofErr w:type="spellEnd"/>
      <w:r w:rsidRPr="002D3FF8">
        <w:rPr>
          <w:rFonts w:cs="Times New Roman"/>
          <w:color w:val="auto"/>
          <w:szCs w:val="24"/>
        </w:rPr>
        <w:t xml:space="preserve">, R.J., 2013. Many objective robust </w:t>
      </w:r>
      <w:proofErr w:type="gramStart"/>
      <w:r w:rsidRPr="002D3FF8">
        <w:rPr>
          <w:rFonts w:cs="Times New Roman"/>
          <w:color w:val="auto"/>
          <w:szCs w:val="24"/>
        </w:rPr>
        <w:t>decision</w:t>
      </w:r>
      <w:proofErr w:type="gramEnd"/>
      <w:r w:rsidRPr="002D3FF8">
        <w:rPr>
          <w:rFonts w:cs="Times New Roman"/>
          <w:color w:val="auto"/>
          <w:szCs w:val="24"/>
        </w:rPr>
        <w:t xml:space="preserve"> making for complex environmental systems undergoing change. Environ. Model. </w:t>
      </w:r>
      <w:proofErr w:type="spellStart"/>
      <w:r w:rsidRPr="002D3FF8">
        <w:rPr>
          <w:rFonts w:cs="Times New Roman"/>
          <w:color w:val="auto"/>
          <w:szCs w:val="24"/>
        </w:rPr>
        <w:t>Softw</w:t>
      </w:r>
      <w:proofErr w:type="spellEnd"/>
      <w:r w:rsidRPr="002D3FF8">
        <w:rPr>
          <w:rFonts w:cs="Times New Roman"/>
          <w:color w:val="auto"/>
          <w:szCs w:val="24"/>
        </w:rPr>
        <w:t xml:space="preserve">. </w:t>
      </w:r>
      <w:hyperlink r:id="rId33" w:history="1">
        <w:r w:rsidRPr="001C1AE2">
          <w:rPr>
            <w:rStyle w:val="Hyperlink"/>
            <w:rFonts w:cs="Times New Roman"/>
            <w:szCs w:val="24"/>
          </w:rPr>
          <w:t>https://doi.org/10.1016/j.envsoft.2012.12.007</w:t>
        </w:r>
      </w:hyperlink>
    </w:p>
    <w:p w14:paraId="0761946F" w14:textId="77777777" w:rsidR="007D3EF7" w:rsidRPr="00E23856" w:rsidRDefault="007D3EF7" w:rsidP="00E23856">
      <w:pPr>
        <w:pStyle w:val="ListParagraph"/>
        <w:numPr>
          <w:ilvl w:val="0"/>
          <w:numId w:val="16"/>
        </w:numPr>
      </w:pPr>
      <w:proofErr w:type="spellStart"/>
      <w:r w:rsidRPr="00E23856">
        <w:t>Kreibich</w:t>
      </w:r>
      <w:proofErr w:type="spellEnd"/>
      <w:r w:rsidRPr="00E23856">
        <w:t xml:space="preserve">, H., </w:t>
      </w:r>
      <w:proofErr w:type="spellStart"/>
      <w:r w:rsidRPr="00E23856">
        <w:t>Thieken</w:t>
      </w:r>
      <w:proofErr w:type="spellEnd"/>
      <w:r w:rsidRPr="00E23856">
        <w:t xml:space="preserve">, A.H., </w:t>
      </w:r>
      <w:proofErr w:type="spellStart"/>
      <w:r w:rsidRPr="00E23856">
        <w:t>Petrow</w:t>
      </w:r>
      <w:proofErr w:type="spellEnd"/>
      <w:r w:rsidRPr="00E23856">
        <w:t>, T., Müller, M., Merz, B., 2005. Flood loss reduction of private households due to building precautionary measures – lessons learned from the Elbe flood in August 2002. Nat. Hazards Earth Syst. Sci. https://doi.org/10.5194/nhess-5-117-2005</w:t>
      </w:r>
    </w:p>
    <w:p w14:paraId="4588160E" w14:textId="77777777" w:rsidR="007D3EF7" w:rsidRPr="0053593A" w:rsidRDefault="007D3EF7" w:rsidP="0053593A">
      <w:pPr>
        <w:pStyle w:val="ListParagraph"/>
        <w:numPr>
          <w:ilvl w:val="0"/>
          <w:numId w:val="16"/>
        </w:numPr>
      </w:pPr>
      <w:proofErr w:type="spellStart"/>
      <w:r w:rsidRPr="0053593A">
        <w:rPr>
          <w:rFonts w:cs="Times New Roman"/>
          <w:color w:val="auto"/>
          <w:szCs w:val="24"/>
        </w:rPr>
        <w:t>Kwakkel</w:t>
      </w:r>
      <w:proofErr w:type="spellEnd"/>
      <w:r w:rsidRPr="0053593A">
        <w:rPr>
          <w:rFonts w:cs="Times New Roman"/>
          <w:color w:val="auto"/>
          <w:szCs w:val="24"/>
        </w:rPr>
        <w:t xml:space="preserve">, J.H., 2017. The Exploratory Modeling Workbench: An open source toolkit for exploratory modeling, scenario discovery, and (multi-objective) robust decision making. Environ. Model. </w:t>
      </w:r>
      <w:proofErr w:type="spellStart"/>
      <w:r w:rsidRPr="0053593A">
        <w:rPr>
          <w:rFonts w:cs="Times New Roman"/>
          <w:color w:val="auto"/>
          <w:szCs w:val="24"/>
        </w:rPr>
        <w:t>Softw</w:t>
      </w:r>
      <w:proofErr w:type="spellEnd"/>
      <w:r w:rsidRPr="0053593A">
        <w:rPr>
          <w:rFonts w:cs="Times New Roman"/>
          <w:color w:val="auto"/>
          <w:szCs w:val="24"/>
        </w:rPr>
        <w:t>. https://doi.org/10.1016/j.envsoft.2017.06.054</w:t>
      </w:r>
    </w:p>
    <w:p w14:paraId="10C2E59D" w14:textId="77777777" w:rsidR="007D3EF7" w:rsidRPr="00E23856" w:rsidRDefault="007D3EF7" w:rsidP="00E23856">
      <w:pPr>
        <w:pStyle w:val="ListParagraph"/>
        <w:numPr>
          <w:ilvl w:val="0"/>
          <w:numId w:val="16"/>
        </w:numPr>
      </w:pPr>
      <w:r w:rsidRPr="00E23856">
        <w:t xml:space="preserve">Lee, B.S., Haran, M., Keller, K., 2017. Multidecadal Scale Detection Time for Potentially Increasing Atlantic Storm Surges in a Warming Climate. </w:t>
      </w:r>
      <w:proofErr w:type="spellStart"/>
      <w:r w:rsidRPr="00E23856">
        <w:t>Geophys</w:t>
      </w:r>
      <w:proofErr w:type="spellEnd"/>
      <w:r w:rsidRPr="00E23856">
        <w:t>. Res. Lett. 44, 10,617-10,623. https://doi.org/10.1002/2017GL074606</w:t>
      </w:r>
    </w:p>
    <w:p w14:paraId="1FEF794D" w14:textId="77777777" w:rsidR="007D3EF7" w:rsidRPr="00E23856" w:rsidRDefault="007D3EF7" w:rsidP="00E23856">
      <w:pPr>
        <w:pStyle w:val="ListParagraph"/>
        <w:numPr>
          <w:ilvl w:val="0"/>
          <w:numId w:val="16"/>
        </w:numPr>
      </w:pPr>
      <w:r w:rsidRPr="00E23856">
        <w:rPr>
          <w:rStyle w:val="Strong"/>
        </w:rPr>
        <w:t xml:space="preserve">McMann, B., Schulze, M., Sprague, H, and Smyth, K. (2017). 2017 Coastal Master Plan: Appendix A: Project Definition. Version Final. (pp.1- 119). Baton Rouge, Louisiana: Coastal Protection and Restoration Authority </w:t>
      </w:r>
    </w:p>
    <w:p w14:paraId="410D3A77" w14:textId="77777777" w:rsidR="007D3EF7" w:rsidRPr="00E23856" w:rsidRDefault="007D3EF7" w:rsidP="00E23856">
      <w:pPr>
        <w:pStyle w:val="ListParagraph"/>
        <w:numPr>
          <w:ilvl w:val="0"/>
          <w:numId w:val="16"/>
        </w:numPr>
      </w:pPr>
      <w:r w:rsidRPr="00E23856">
        <w:t xml:space="preserve">Merz, B., </w:t>
      </w:r>
      <w:proofErr w:type="spellStart"/>
      <w:r w:rsidRPr="00E23856">
        <w:t>Kreibich</w:t>
      </w:r>
      <w:proofErr w:type="spellEnd"/>
      <w:r w:rsidRPr="00E23856">
        <w:t xml:space="preserve">, H., </w:t>
      </w:r>
      <w:proofErr w:type="spellStart"/>
      <w:r w:rsidRPr="00E23856">
        <w:t>Thieken</w:t>
      </w:r>
      <w:proofErr w:type="spellEnd"/>
      <w:r w:rsidRPr="00E23856">
        <w:t xml:space="preserve">, A., </w:t>
      </w:r>
      <w:proofErr w:type="spellStart"/>
      <w:r w:rsidRPr="00E23856">
        <w:t>Schmidtke</w:t>
      </w:r>
      <w:proofErr w:type="spellEnd"/>
      <w:r w:rsidRPr="00E23856">
        <w:t>, R., 2004. Estimation uncertainty of direct monetary flood damage to buildings, European Geosciences Union.</w:t>
      </w:r>
    </w:p>
    <w:p w14:paraId="3388C99D" w14:textId="77777777" w:rsidR="007D3EF7" w:rsidRPr="00E23856" w:rsidRDefault="007D3EF7" w:rsidP="00E23856">
      <w:pPr>
        <w:pStyle w:val="ListParagraph"/>
        <w:numPr>
          <w:ilvl w:val="0"/>
          <w:numId w:val="16"/>
        </w:numPr>
      </w:pPr>
      <w:r w:rsidRPr="00E23856">
        <w:t xml:space="preserve">Nadal, N.C., Zapata, R.E., </w:t>
      </w:r>
      <w:proofErr w:type="spellStart"/>
      <w:r w:rsidRPr="00E23856">
        <w:t>Pagán</w:t>
      </w:r>
      <w:proofErr w:type="spellEnd"/>
      <w:r w:rsidRPr="00E23856">
        <w:t xml:space="preserve">, I., López, R., </w:t>
      </w:r>
      <w:proofErr w:type="spellStart"/>
      <w:r w:rsidRPr="00E23856">
        <w:t>Agudelo</w:t>
      </w:r>
      <w:proofErr w:type="spellEnd"/>
      <w:r w:rsidRPr="00E23856">
        <w:t xml:space="preserve">, J., 2010. Building Damage due to Riverine and Coastal Floods. J. Water </w:t>
      </w:r>
      <w:proofErr w:type="spellStart"/>
      <w:r w:rsidRPr="00E23856">
        <w:t>Resour</w:t>
      </w:r>
      <w:proofErr w:type="spellEnd"/>
      <w:r w:rsidRPr="00E23856">
        <w:t xml:space="preserve">. Plan. </w:t>
      </w:r>
      <w:proofErr w:type="spellStart"/>
      <w:r w:rsidRPr="00E23856">
        <w:t>Manag</w:t>
      </w:r>
      <w:proofErr w:type="spellEnd"/>
      <w:r w:rsidRPr="00E23856">
        <w:t>. 136, 327–336. https://doi.org/10.1061/(asce)wr.1943-5452.0000036</w:t>
      </w:r>
    </w:p>
    <w:p w14:paraId="21AB5278" w14:textId="77777777" w:rsidR="007D3EF7" w:rsidRPr="007D3EF7" w:rsidRDefault="007D3EF7" w:rsidP="007D3EF7">
      <w:pPr>
        <w:pStyle w:val="ListParagraph"/>
        <w:numPr>
          <w:ilvl w:val="0"/>
          <w:numId w:val="16"/>
        </w:numPr>
      </w:pPr>
      <w:r w:rsidRPr="007D3EF7">
        <w:rPr>
          <w:rFonts w:cs="Times New Roman"/>
          <w:color w:val="auto"/>
          <w:szCs w:val="24"/>
        </w:rPr>
        <w:t>Newell, R.G., Pizer, W.A., 2003. Discounting the distant future: How much do uncertain rates increase valuations? J. Environ. Econ. Manage. https://doi.org/10.1016/S0095-0696(02)00031-1</w:t>
      </w:r>
    </w:p>
    <w:p w14:paraId="4487958B" w14:textId="77777777" w:rsidR="007D3EF7" w:rsidRDefault="007D3EF7" w:rsidP="000C67B1">
      <w:pPr>
        <w:pStyle w:val="ListParagraph"/>
        <w:numPr>
          <w:ilvl w:val="0"/>
          <w:numId w:val="16"/>
        </w:numPr>
      </w:pPr>
      <w:proofErr w:type="spellStart"/>
      <w:r w:rsidRPr="00FE7BAE">
        <w:t>Oddo</w:t>
      </w:r>
      <w:proofErr w:type="spellEnd"/>
      <w:r w:rsidRPr="00FE7BAE">
        <w:t xml:space="preserve">, P.C., Lee, B.S., Garner, G.G., </w:t>
      </w:r>
      <w:proofErr w:type="spellStart"/>
      <w:r w:rsidRPr="00FE7BAE">
        <w:t>Srikrishnan</w:t>
      </w:r>
      <w:proofErr w:type="spellEnd"/>
      <w:r w:rsidRPr="00FE7BAE">
        <w:t xml:space="preserve">, V., Reed, P.M., Forest, C.E., Keller, K., 2017. Deep Uncertainties in Sea-Level Rise and Storm Surge Projections: Implications for Coastal Flood Risk Management. Risk Anal. </w:t>
      </w:r>
      <w:hyperlink r:id="rId34" w:history="1">
        <w:r w:rsidRPr="001C1AE2">
          <w:rPr>
            <w:rStyle w:val="Hyperlink"/>
          </w:rPr>
          <w:t>https://doi.org/10.1111/risa.12888</w:t>
        </w:r>
      </w:hyperlink>
    </w:p>
    <w:p w14:paraId="2080C812" w14:textId="77777777" w:rsidR="007D3EF7" w:rsidRPr="00E23856" w:rsidRDefault="007D3EF7" w:rsidP="00E23856">
      <w:pPr>
        <w:pStyle w:val="ListParagraph"/>
        <w:numPr>
          <w:ilvl w:val="0"/>
          <w:numId w:val="16"/>
        </w:numPr>
      </w:pPr>
      <w:r w:rsidRPr="00E23856">
        <w:t>Rasmussen, D.J., n.d. A probabilistic framework for homeowner flood insurance cost-benefit analysis under rising seas.</w:t>
      </w:r>
    </w:p>
    <w:p w14:paraId="07881476" w14:textId="77777777" w:rsidR="007D3EF7" w:rsidRPr="00E23856" w:rsidRDefault="007D3EF7" w:rsidP="00E23856">
      <w:pPr>
        <w:pStyle w:val="ListParagraph"/>
        <w:numPr>
          <w:ilvl w:val="0"/>
          <w:numId w:val="16"/>
        </w:numPr>
      </w:pPr>
      <w:r w:rsidRPr="00E23856">
        <w:lastRenderedPageBreak/>
        <w:t xml:space="preserve">Tol, R.S.J., van der </w:t>
      </w:r>
      <w:proofErr w:type="spellStart"/>
      <w:r w:rsidRPr="00E23856">
        <w:t>Grijp</w:t>
      </w:r>
      <w:proofErr w:type="spellEnd"/>
      <w:r w:rsidRPr="00E23856">
        <w:t xml:space="preserve">, N., </w:t>
      </w:r>
      <w:proofErr w:type="spellStart"/>
      <w:r w:rsidRPr="00E23856">
        <w:t>Olsthoorn</w:t>
      </w:r>
      <w:proofErr w:type="spellEnd"/>
      <w:r w:rsidRPr="00E23856">
        <w:t xml:space="preserve">, A.A., van der </w:t>
      </w:r>
      <w:proofErr w:type="spellStart"/>
      <w:r w:rsidRPr="00E23856">
        <w:t>Werff</w:t>
      </w:r>
      <w:proofErr w:type="spellEnd"/>
      <w:r w:rsidRPr="00E23856">
        <w:t>, P.E., 2003. Adapting to Climate: A Case Study on Riverine Flood Risks in the Netherlands. Risk Anal. 23, 575–583. https://doi.org/10.1111/1539-6924.00338</w:t>
      </w:r>
    </w:p>
    <w:p w14:paraId="0A85B602" w14:textId="77777777" w:rsidR="007D3EF7" w:rsidRPr="00E23856" w:rsidRDefault="007D3EF7" w:rsidP="00E23856">
      <w:pPr>
        <w:pStyle w:val="ListParagraph"/>
        <w:numPr>
          <w:ilvl w:val="0"/>
          <w:numId w:val="16"/>
        </w:numPr>
      </w:pPr>
      <w:r w:rsidRPr="00E23856">
        <w:t>Woodruff, J.D., Irish, J.L., Camargo, S.J., 2013. Coastal flooding by tropical cyclones and sea-level rise. Nature. https://doi.org/10.1038/nature12855</w:t>
      </w:r>
    </w:p>
    <w:p w14:paraId="78B5F228" w14:textId="77777777" w:rsidR="00743B06" w:rsidRDefault="007D3EF7" w:rsidP="00743B06">
      <w:pPr>
        <w:pStyle w:val="ListParagraph"/>
        <w:numPr>
          <w:ilvl w:val="0"/>
          <w:numId w:val="16"/>
        </w:numPr>
        <w:rPr>
          <w:rStyle w:val="Hyperlink"/>
          <w:color w:val="000000"/>
          <w:u w:val="none"/>
        </w:rPr>
      </w:pPr>
      <w:r w:rsidRPr="00E23856">
        <w:t xml:space="preserve">Xian, S., Lin, N., </w:t>
      </w:r>
      <w:proofErr w:type="spellStart"/>
      <w:r w:rsidRPr="00E23856">
        <w:t>Kunreuther</w:t>
      </w:r>
      <w:proofErr w:type="spellEnd"/>
      <w:r w:rsidRPr="00E23856">
        <w:t xml:space="preserve">, H., 2017. Optimal house elevation for reducing flood-related losses. J. </w:t>
      </w:r>
      <w:proofErr w:type="spellStart"/>
      <w:r w:rsidRPr="00E23856">
        <w:t>Hydrol</w:t>
      </w:r>
      <w:proofErr w:type="spellEnd"/>
      <w:r w:rsidRPr="00E23856">
        <w:t xml:space="preserve">. 548, 63–74. </w:t>
      </w:r>
      <w:hyperlink r:id="rId35" w:history="1">
        <w:r w:rsidRPr="00E23856">
          <w:rPr>
            <w:rStyle w:val="Hyperlink"/>
            <w:color w:val="000000"/>
            <w:u w:val="none"/>
          </w:rPr>
          <w:t>https://doi.org/10.1016/j.jhydrol.2017.02.057</w:t>
        </w:r>
      </w:hyperlink>
    </w:p>
    <w:p w14:paraId="4BF4A94A" w14:textId="6750D4F4" w:rsidR="00835268" w:rsidRPr="00835268" w:rsidRDefault="00743B06" w:rsidP="00835268">
      <w:pPr>
        <w:pStyle w:val="ListParagraph"/>
        <w:numPr>
          <w:ilvl w:val="0"/>
          <w:numId w:val="16"/>
        </w:numPr>
      </w:pPr>
      <w:r w:rsidRPr="00743B06">
        <w:rPr>
          <w:rFonts w:cs="Times New Roman"/>
          <w:color w:val="auto"/>
          <w:szCs w:val="24"/>
        </w:rPr>
        <w:t>Michel-</w:t>
      </w:r>
      <w:proofErr w:type="spellStart"/>
      <w:r w:rsidRPr="00743B06">
        <w:rPr>
          <w:rFonts w:cs="Times New Roman"/>
          <w:color w:val="auto"/>
          <w:szCs w:val="24"/>
        </w:rPr>
        <w:t>Kerjan</w:t>
      </w:r>
      <w:proofErr w:type="spellEnd"/>
      <w:r w:rsidRPr="00743B06">
        <w:rPr>
          <w:rFonts w:cs="Times New Roman"/>
          <w:color w:val="auto"/>
          <w:szCs w:val="24"/>
        </w:rPr>
        <w:t xml:space="preserve">, E.O., 2010. Catastrophe Economics: The National Flood Insurance Program. J. Econ. </w:t>
      </w:r>
      <w:proofErr w:type="spellStart"/>
      <w:r w:rsidRPr="00743B06">
        <w:rPr>
          <w:rFonts w:cs="Times New Roman"/>
          <w:color w:val="auto"/>
          <w:szCs w:val="24"/>
        </w:rPr>
        <w:t>Perspect</w:t>
      </w:r>
      <w:proofErr w:type="spellEnd"/>
      <w:r w:rsidRPr="00743B06">
        <w:rPr>
          <w:rFonts w:cs="Times New Roman"/>
          <w:color w:val="auto"/>
          <w:szCs w:val="24"/>
        </w:rPr>
        <w:t xml:space="preserve">. </w:t>
      </w:r>
      <w:hyperlink r:id="rId36" w:history="1">
        <w:r w:rsidR="00835268" w:rsidRPr="000F5B2F">
          <w:rPr>
            <w:rStyle w:val="Hyperlink"/>
            <w:rFonts w:cs="Times New Roman"/>
            <w:szCs w:val="24"/>
          </w:rPr>
          <w:t>https://doi.org/10.1257/jep.24.4.165</w:t>
        </w:r>
      </w:hyperlink>
    </w:p>
    <w:p w14:paraId="020E8D18" w14:textId="73D99D92" w:rsidR="00835268" w:rsidRDefault="00835268" w:rsidP="00835268">
      <w:pPr>
        <w:pStyle w:val="ListParagraph"/>
        <w:numPr>
          <w:ilvl w:val="0"/>
          <w:numId w:val="16"/>
        </w:numPr>
      </w:pPr>
      <w:proofErr w:type="spellStart"/>
      <w:r w:rsidRPr="00835268">
        <w:t>Dinan</w:t>
      </w:r>
      <w:proofErr w:type="spellEnd"/>
      <w:r w:rsidRPr="00835268">
        <w:t xml:space="preserve">, T., </w:t>
      </w:r>
      <w:proofErr w:type="spellStart"/>
      <w:r w:rsidRPr="00835268">
        <w:t>Beider</w:t>
      </w:r>
      <w:proofErr w:type="spellEnd"/>
      <w:r w:rsidRPr="00835268">
        <w:t xml:space="preserve">, P., Wylie, D., 2019. The National Flood Insurance Program: Is It Financially Sound? Risk </w:t>
      </w:r>
      <w:proofErr w:type="spellStart"/>
      <w:r w:rsidRPr="00835268">
        <w:t>Manag</w:t>
      </w:r>
      <w:proofErr w:type="spellEnd"/>
      <w:r w:rsidRPr="00835268">
        <w:t xml:space="preserve">. </w:t>
      </w:r>
      <w:proofErr w:type="spellStart"/>
      <w:r w:rsidRPr="00835268">
        <w:t>Insur</w:t>
      </w:r>
      <w:proofErr w:type="spellEnd"/>
      <w:r w:rsidRPr="00835268">
        <w:t xml:space="preserve">. Rev. 22, 15–38. </w:t>
      </w:r>
      <w:hyperlink r:id="rId37" w:history="1">
        <w:r w:rsidRPr="000F5B2F">
          <w:rPr>
            <w:rStyle w:val="Hyperlink"/>
          </w:rPr>
          <w:t>https://doi.org/10.1111/rmir.12116</w:t>
        </w:r>
      </w:hyperlink>
    </w:p>
    <w:p w14:paraId="7E7D48E7" w14:textId="5EEFED4D" w:rsidR="00835268" w:rsidRDefault="00835268" w:rsidP="00835268">
      <w:pPr>
        <w:pStyle w:val="ListParagraph"/>
        <w:numPr>
          <w:ilvl w:val="0"/>
          <w:numId w:val="16"/>
        </w:numPr>
      </w:pPr>
      <w:r w:rsidRPr="00835268">
        <w:t xml:space="preserve">Miller, B., Dixon, L., Clancy, N., 2019. Reasonable and Risk‐Based? Replacing NFIP Generally Subsidized Rates with a Means‐Tested Subsidy. South. Econ. J. 85, 1180–1195. </w:t>
      </w:r>
      <w:hyperlink r:id="rId38" w:history="1">
        <w:r w:rsidRPr="000F5B2F">
          <w:rPr>
            <w:rStyle w:val="Hyperlink"/>
          </w:rPr>
          <w:t>https://doi.org/10.1002/soej.12329</w:t>
        </w:r>
      </w:hyperlink>
    </w:p>
    <w:p w14:paraId="1D8D864C" w14:textId="77777777" w:rsidR="00121EAB" w:rsidRDefault="00835268" w:rsidP="00121EAB">
      <w:pPr>
        <w:pStyle w:val="ListParagraph"/>
        <w:numPr>
          <w:ilvl w:val="0"/>
          <w:numId w:val="16"/>
        </w:numPr>
      </w:pPr>
      <w:proofErr w:type="spellStart"/>
      <w:r w:rsidRPr="00835268">
        <w:t>Kousky</w:t>
      </w:r>
      <w:proofErr w:type="spellEnd"/>
      <w:r w:rsidRPr="00835268">
        <w:t xml:space="preserve">, C., </w:t>
      </w:r>
      <w:proofErr w:type="spellStart"/>
      <w:r w:rsidRPr="00835268">
        <w:t>Kunreuther</w:t>
      </w:r>
      <w:proofErr w:type="spellEnd"/>
      <w:r w:rsidRPr="00835268">
        <w:t xml:space="preserve">, H., 2014. Addressing Affordability in the National Flood Insurance Program. J. </w:t>
      </w:r>
      <w:proofErr w:type="spellStart"/>
      <w:r w:rsidRPr="00835268">
        <w:t>Extrem</w:t>
      </w:r>
      <w:proofErr w:type="spellEnd"/>
      <w:r w:rsidRPr="00835268">
        <w:t xml:space="preserve">. Events 01, 1450001. </w:t>
      </w:r>
      <w:hyperlink r:id="rId39" w:history="1">
        <w:r w:rsidR="00121EAB" w:rsidRPr="000F5B2F">
          <w:rPr>
            <w:rStyle w:val="Hyperlink"/>
          </w:rPr>
          <w:t>https://doi.org/10.1142/S2345737614500018</w:t>
        </w:r>
      </w:hyperlink>
    </w:p>
    <w:p w14:paraId="6708AE7A" w14:textId="335C6517" w:rsidR="002300F4" w:rsidRPr="002300F4" w:rsidRDefault="00121EAB" w:rsidP="002300F4">
      <w:pPr>
        <w:pStyle w:val="ListParagraph"/>
        <w:numPr>
          <w:ilvl w:val="0"/>
          <w:numId w:val="16"/>
        </w:numPr>
      </w:pPr>
      <w:r w:rsidRPr="00121EAB">
        <w:rPr>
          <w:rFonts w:cs="Times New Roman"/>
          <w:color w:val="auto"/>
          <w:szCs w:val="24"/>
        </w:rPr>
        <w:t xml:space="preserve">Arnell, N.W., 1989. Expected Annual Damages and Uncertainties in Flood Frequency Estimation. J. Water </w:t>
      </w:r>
      <w:proofErr w:type="spellStart"/>
      <w:r w:rsidRPr="00121EAB">
        <w:rPr>
          <w:rFonts w:cs="Times New Roman"/>
          <w:color w:val="auto"/>
          <w:szCs w:val="24"/>
        </w:rPr>
        <w:t>Resour</w:t>
      </w:r>
      <w:proofErr w:type="spellEnd"/>
      <w:r w:rsidRPr="00121EAB">
        <w:rPr>
          <w:rFonts w:cs="Times New Roman"/>
          <w:color w:val="auto"/>
          <w:szCs w:val="24"/>
        </w:rPr>
        <w:t xml:space="preserve">. Plan. </w:t>
      </w:r>
      <w:proofErr w:type="spellStart"/>
      <w:r w:rsidRPr="00121EAB">
        <w:rPr>
          <w:rFonts w:cs="Times New Roman"/>
          <w:color w:val="auto"/>
          <w:szCs w:val="24"/>
        </w:rPr>
        <w:t>Manag</w:t>
      </w:r>
      <w:proofErr w:type="spellEnd"/>
      <w:r w:rsidRPr="00121EAB">
        <w:rPr>
          <w:rFonts w:cs="Times New Roman"/>
          <w:color w:val="auto"/>
          <w:szCs w:val="24"/>
        </w:rPr>
        <w:t xml:space="preserve">. 115, 94–107. </w:t>
      </w:r>
      <w:hyperlink r:id="rId40" w:history="1">
        <w:r w:rsidR="002300F4" w:rsidRPr="000F5B2F">
          <w:rPr>
            <w:rStyle w:val="Hyperlink"/>
            <w:rFonts w:cs="Times New Roman"/>
            <w:szCs w:val="24"/>
          </w:rPr>
          <w:t>https://doi.org/10.1061/(ASCE)0733-9496(1989)115:1(94)</w:t>
        </w:r>
      </w:hyperlink>
    </w:p>
    <w:p w14:paraId="31649985" w14:textId="1C8CF7BC" w:rsidR="002300F4" w:rsidRPr="002300F4" w:rsidRDefault="002300F4" w:rsidP="002300F4">
      <w:pPr>
        <w:pStyle w:val="ListParagraph"/>
        <w:numPr>
          <w:ilvl w:val="0"/>
          <w:numId w:val="16"/>
        </w:numPr>
      </w:pPr>
      <w:r w:rsidRPr="002300F4">
        <w:rPr>
          <w:rFonts w:cs="Times New Roman"/>
          <w:color w:val="auto"/>
          <w:szCs w:val="24"/>
        </w:rPr>
        <w:t xml:space="preserve">Huizinga, J., </w:t>
      </w:r>
      <w:proofErr w:type="spellStart"/>
      <w:r w:rsidRPr="002300F4">
        <w:rPr>
          <w:rFonts w:cs="Times New Roman"/>
          <w:color w:val="auto"/>
          <w:szCs w:val="24"/>
        </w:rPr>
        <w:t>Moel</w:t>
      </w:r>
      <w:proofErr w:type="spellEnd"/>
      <w:r w:rsidRPr="002300F4">
        <w:rPr>
          <w:rFonts w:cs="Times New Roman"/>
          <w:color w:val="auto"/>
          <w:szCs w:val="24"/>
        </w:rPr>
        <w:t xml:space="preserve">, H. de, </w:t>
      </w:r>
      <w:proofErr w:type="spellStart"/>
      <w:r w:rsidRPr="002300F4">
        <w:rPr>
          <w:rFonts w:cs="Times New Roman"/>
          <w:color w:val="auto"/>
          <w:szCs w:val="24"/>
        </w:rPr>
        <w:t>Szewczyk</w:t>
      </w:r>
      <w:proofErr w:type="spellEnd"/>
      <w:r w:rsidRPr="002300F4">
        <w:rPr>
          <w:rFonts w:cs="Times New Roman"/>
          <w:color w:val="auto"/>
          <w:szCs w:val="24"/>
        </w:rPr>
        <w:t>, W., 2017. Global flood depth-damage functions. Methodology and the database with guidelines. https://doi.org/10.2760/16510</w:t>
      </w:r>
    </w:p>
    <w:p w14:paraId="06597773" w14:textId="77777777" w:rsidR="00121EAB" w:rsidRPr="00835268" w:rsidRDefault="00121EAB" w:rsidP="00835268">
      <w:pPr>
        <w:pStyle w:val="ListParagraph"/>
        <w:numPr>
          <w:ilvl w:val="0"/>
          <w:numId w:val="16"/>
        </w:numPr>
      </w:pPr>
    </w:p>
    <w:p w14:paraId="26053DE3" w14:textId="77777777" w:rsidR="007D3EF7" w:rsidRPr="00E23856" w:rsidRDefault="007D3EF7" w:rsidP="00835268"/>
    <w:p w14:paraId="66837A84" w14:textId="77777777" w:rsidR="00FE7BAE" w:rsidRPr="00E23856" w:rsidRDefault="00FE7BAE" w:rsidP="000C67B1">
      <w:pPr>
        <w:ind w:left="360"/>
      </w:pPr>
    </w:p>
    <w:p w14:paraId="152BF97D" w14:textId="478FC820" w:rsidR="00DA0D98" w:rsidRPr="0051412B" w:rsidRDefault="00DA0D98" w:rsidP="00DA0D98">
      <w:pPr>
        <w:pStyle w:val="Heading1"/>
        <w:rPr>
          <w:sz w:val="48"/>
          <w:szCs w:val="48"/>
        </w:rPr>
      </w:pPr>
      <w:r w:rsidRPr="007463D4">
        <w:t>Supplementary material</w:t>
      </w:r>
      <w:r w:rsidR="0051412B">
        <w:t>s</w:t>
      </w:r>
      <w:r w:rsidRPr="007463D4">
        <w:t xml:space="preserve"> </w:t>
      </w:r>
    </w:p>
    <w:p w14:paraId="530EDC3F" w14:textId="77777777" w:rsidR="00DA0D98" w:rsidRPr="007463D4" w:rsidRDefault="00DA0D98" w:rsidP="00DA0D98"/>
    <w:p w14:paraId="7D652D23" w14:textId="77777777" w:rsidR="00B5410B" w:rsidRDefault="00B5410B" w:rsidP="0094758E"/>
    <w:sectPr w:rsidR="00B5410B" w:rsidSect="00C5227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arekarizi, Mahkameh" w:date="2019-07-18T17:37:00Z" w:initials="ZM">
    <w:p w14:paraId="46F63FDD" w14:textId="77777777" w:rsidR="00AA6AA4" w:rsidRDefault="00AA6AA4">
      <w:pPr>
        <w:pStyle w:val="CommentText"/>
      </w:pPr>
      <w:r>
        <w:rPr>
          <w:rStyle w:val="CommentReference"/>
        </w:rPr>
        <w:annotationRef/>
      </w:r>
      <w:r>
        <w:t>Word suggestions:</w:t>
      </w:r>
    </w:p>
    <w:p w14:paraId="677A1CB8" w14:textId="77777777" w:rsidR="00AA6AA4" w:rsidRDefault="00AA6AA4">
      <w:pPr>
        <w:pStyle w:val="CommentText"/>
      </w:pPr>
      <w:r>
        <w:t>We found that…</w:t>
      </w:r>
    </w:p>
    <w:p w14:paraId="0535552D" w14:textId="77777777" w:rsidR="00AA6AA4" w:rsidRDefault="00AA6AA4">
      <w:pPr>
        <w:pStyle w:val="CommentText"/>
      </w:pPr>
      <w:r>
        <w:t>A large share of buildings had …</w:t>
      </w:r>
    </w:p>
    <w:p w14:paraId="2F04C0D4" w14:textId="77777777" w:rsidR="00AA6AA4" w:rsidRDefault="00AA6AA4">
      <w:pPr>
        <w:pStyle w:val="CommentText"/>
      </w:pPr>
      <w:proofErr w:type="spellStart"/>
      <w:r>
        <w:t>Jereon</w:t>
      </w:r>
      <w:proofErr w:type="spellEnd"/>
      <w:proofErr w:type="gramStart"/>
      <w:r>
        <w:t>:”for</w:t>
      </w:r>
      <w:proofErr w:type="gramEnd"/>
      <w:r>
        <w:t xml:space="preserve"> these buildings, </w:t>
      </w:r>
      <w:proofErr w:type="spellStart"/>
      <w:r>
        <w:t>reparing</w:t>
      </w:r>
      <w:proofErr w:type="spellEnd"/>
      <w:r>
        <w:t xml:space="preserve"> the damage would be more economically efficient than investing in adaptation”</w:t>
      </w:r>
    </w:p>
    <w:p w14:paraId="09225CE0" w14:textId="77777777" w:rsidR="00AA6AA4" w:rsidRDefault="00AA6AA4">
      <w:pPr>
        <w:pStyle w:val="CommentText"/>
      </w:pPr>
      <w:r>
        <w:t>The damage reduction attained through elevating the building…</w:t>
      </w:r>
    </w:p>
    <w:p w14:paraId="7AB3E790" w14:textId="77777777" w:rsidR="00AA6AA4" w:rsidRDefault="00AA6AA4">
      <w:pPr>
        <w:pStyle w:val="CommentText"/>
      </w:pPr>
      <w:proofErr w:type="spellStart"/>
      <w:r>
        <w:t>Jereon</w:t>
      </w:r>
      <w:proofErr w:type="spellEnd"/>
      <w:r>
        <w:t xml:space="preserve"> calculates the average flood risk per building </w:t>
      </w:r>
    </w:p>
    <w:p w14:paraId="2F9D0959" w14:textId="77777777" w:rsidR="00AA6AA4" w:rsidRDefault="00AA6AA4">
      <w:pPr>
        <w:pStyle w:val="CommentText"/>
      </w:pPr>
      <w:r>
        <w:t>Calculate risk per year (</w:t>
      </w:r>
      <w:proofErr w:type="spellStart"/>
      <w:r>
        <w:t>jereon</w:t>
      </w:r>
      <w:proofErr w:type="spellEnd"/>
      <w:r>
        <w:t xml:space="preserve"> has it in a table for different areas.)</w:t>
      </w:r>
    </w:p>
    <w:p w14:paraId="4EF3E7AB" w14:textId="77777777" w:rsidR="00AA6AA4" w:rsidRDefault="00AA6AA4">
      <w:pPr>
        <w:pStyle w:val="CommentText"/>
      </w:pPr>
      <w:r>
        <w:t xml:space="preserve">For </w:t>
      </w:r>
      <w:proofErr w:type="gramStart"/>
      <w:r>
        <w:t>example</w:t>
      </w:r>
      <w:proofErr w:type="gramEnd"/>
      <w:r>
        <w:t xml:space="preserve"> you can report risk per year versus elevation.</w:t>
      </w:r>
    </w:p>
    <w:p w14:paraId="4FAB4EB1" w14:textId="19EA5CB9" w:rsidR="00AA6AA4" w:rsidRDefault="00AA6AA4">
      <w:pPr>
        <w:pStyle w:val="CommentText"/>
      </w:pPr>
    </w:p>
  </w:comment>
  <w:comment w:id="1" w:author="Zarekarizi, Mahkameh" w:date="2019-07-26T15:54:00Z" w:initials="ZM">
    <w:p w14:paraId="73FE742A" w14:textId="77777777" w:rsidR="00AA6AA4" w:rsidRDefault="00AA6AA4">
      <w:pPr>
        <w:pStyle w:val="CommentText"/>
      </w:pPr>
      <w:r>
        <w:rPr>
          <w:rStyle w:val="CommentReference"/>
        </w:rPr>
        <w:annotationRef/>
      </w:r>
      <w:r>
        <w:t>Consider these in the paper:</w:t>
      </w:r>
    </w:p>
    <w:p w14:paraId="00346F12" w14:textId="77777777" w:rsidR="00AA6AA4" w:rsidRDefault="00AA6AA4" w:rsidP="00BB4BAF">
      <w:pPr>
        <w:pStyle w:val="CommentText"/>
      </w:pPr>
      <w:r>
        <w:rPr>
          <w:rStyle w:val="CommentReference"/>
        </w:rPr>
        <w:annotationRef/>
      </w:r>
    </w:p>
    <w:p w14:paraId="03BB5F34" w14:textId="3E481984" w:rsidR="00AA6AA4" w:rsidRDefault="00AA6AA4" w:rsidP="00BB4BAF">
      <w:pPr>
        <w:pStyle w:val="CommentText"/>
      </w:pPr>
      <w:r>
        <w:t>What about mentioning their (Xian et al.,) shortcomings? Like ignoring uncertainty and assuming that hazard and insurance are the same?</w:t>
      </w:r>
    </w:p>
    <w:p w14:paraId="22A92BFE" w14:textId="77777777" w:rsidR="00AA6AA4" w:rsidRDefault="00AA6AA4">
      <w:pPr>
        <w:pStyle w:val="CommentText"/>
      </w:pPr>
    </w:p>
    <w:p w14:paraId="3834D95E" w14:textId="77777777" w:rsidR="00AA6AA4" w:rsidRDefault="00AA6AA4">
      <w:pPr>
        <w:pStyle w:val="CommentText"/>
      </w:pPr>
    </w:p>
    <w:p w14:paraId="104BCC80" w14:textId="4F0970AF" w:rsidR="00AA6AA4" w:rsidRDefault="00AA6AA4">
      <w:pPr>
        <w:pStyle w:val="CommentText"/>
      </w:pPr>
    </w:p>
  </w:comment>
  <w:comment w:id="2" w:author="Zarekarizi, Mahkameh" w:date="2019-07-18T16:56:00Z" w:initials="ZM">
    <w:p w14:paraId="5510A32C" w14:textId="458DE9F9" w:rsidR="00AA6AA4" w:rsidRDefault="00AA6AA4">
      <w:pPr>
        <w:pStyle w:val="CommentText"/>
      </w:pPr>
      <w:r>
        <w:rPr>
          <w:rStyle w:val="CommentReference"/>
        </w:rPr>
        <w:annotationRef/>
      </w:r>
      <w:proofErr w:type="spellStart"/>
      <w:r>
        <w:t>Jereon</w:t>
      </w:r>
      <w:proofErr w:type="spellEnd"/>
      <w:r>
        <w:t xml:space="preserve"> used the term building instead of house! I like that. </w:t>
      </w:r>
    </w:p>
  </w:comment>
  <w:comment w:id="3" w:author="Zarekarizi, Mahkameh" w:date="2019-07-18T16:55:00Z" w:initials="ZM">
    <w:p w14:paraId="74698CCF" w14:textId="77777777" w:rsidR="00AA6AA4" w:rsidRDefault="00AA6AA4">
      <w:pPr>
        <w:pStyle w:val="CommentText"/>
      </w:pPr>
      <w:r>
        <w:rPr>
          <w:rStyle w:val="CommentReference"/>
        </w:rPr>
        <w:annotationRef/>
      </w:r>
      <w:r>
        <w:t xml:space="preserve">How about we add </w:t>
      </w:r>
      <w:proofErr w:type="spellStart"/>
      <w:r>
        <w:t>jereon</w:t>
      </w:r>
      <w:proofErr w:type="spellEnd"/>
      <w:r>
        <w:t>?</w:t>
      </w:r>
    </w:p>
    <w:p w14:paraId="6D870384" w14:textId="3A373E9B" w:rsidR="00AA6AA4" w:rsidRDefault="00AA6AA4">
      <w:pPr>
        <w:pStyle w:val="CommentText"/>
      </w:pPr>
    </w:p>
  </w:comment>
  <w:comment w:id="4" w:author="Zarekarizi, Mahkameh" w:date="2019-07-29T14:12:00Z" w:initials="ZM">
    <w:p w14:paraId="00BE3526" w14:textId="6E2D6A28" w:rsidR="00AA6AA4" w:rsidRDefault="00AA6AA4">
      <w:pPr>
        <w:pStyle w:val="CommentText"/>
      </w:pPr>
      <w:r>
        <w:rPr>
          <w:rStyle w:val="CommentReference"/>
        </w:rPr>
        <w:annotationRef/>
      </w:r>
      <w:r>
        <w:t>Is this wrong?</w:t>
      </w:r>
    </w:p>
  </w:comment>
  <w:comment w:id="5" w:author="Zarekarizi, Mahkameh" w:date="2019-07-29T18:25:00Z" w:initials="ZM">
    <w:p w14:paraId="18DD6F01" w14:textId="6C628370" w:rsidR="00AA6AA4" w:rsidRDefault="00AA6AA4">
      <w:pPr>
        <w:pStyle w:val="CommentText"/>
      </w:pPr>
      <w:r>
        <w:rPr>
          <w:rStyle w:val="CommentReference"/>
        </w:rPr>
        <w:annotationRef/>
      </w:r>
      <w:r>
        <w:t>In the report, there is another line with 1 why don’t you have that???? The last column (1) is not in the code. Should I add?</w:t>
      </w:r>
    </w:p>
  </w:comment>
  <w:comment w:id="6" w:author="Zarekarizi, Mahkameh" w:date="2019-07-30T11:21:00Z" w:initials="ZM">
    <w:p w14:paraId="3801653B" w14:textId="46EFC035" w:rsidR="00AA6AA4" w:rsidRDefault="00AA6AA4">
      <w:pPr>
        <w:pStyle w:val="CommentText"/>
      </w:pPr>
      <w:r>
        <w:rPr>
          <w:rStyle w:val="CommentReference"/>
        </w:rPr>
        <w:annotationRef/>
      </w:r>
      <w:r>
        <w:t xml:space="preserve">Cite </w:t>
      </w:r>
    </w:p>
  </w:comment>
  <w:comment w:id="7" w:author="Zarekarizi, Mahkameh" w:date="2019-07-09T10:04:00Z" w:initials="ZM">
    <w:p w14:paraId="54CF9E90" w14:textId="77777777" w:rsidR="00AA6AA4" w:rsidRDefault="00AA6AA4">
      <w:pPr>
        <w:pStyle w:val="CommentText"/>
      </w:pPr>
      <w:r>
        <w:rPr>
          <w:rStyle w:val="CommentReference"/>
        </w:rPr>
        <w:annotationRef/>
      </w:r>
      <w:r>
        <w:t>In panel b: shouldn’t the y label be exceedance probability? Why lowest floor?????</w:t>
      </w:r>
    </w:p>
    <w:p w14:paraId="217DE942" w14:textId="77777777" w:rsidR="00AA6AA4" w:rsidRDefault="00AA6AA4">
      <w:pPr>
        <w:pStyle w:val="CommentText"/>
      </w:pPr>
      <w:r>
        <w:t>Remove panel a</w:t>
      </w:r>
    </w:p>
    <w:p w14:paraId="6B427636" w14:textId="55A1210E" w:rsidR="00AA6AA4" w:rsidRDefault="00AA6AA4">
      <w:pPr>
        <w:pStyle w:val="CommentText"/>
      </w:pPr>
    </w:p>
  </w:comment>
  <w:comment w:id="8" w:author="Zarekarizi, Mahkameh" w:date="2019-07-09T11:02:00Z" w:initials="ZM">
    <w:p w14:paraId="14B63BBF" w14:textId="42AF0306" w:rsidR="00AA6AA4" w:rsidRDefault="00AA6AA4">
      <w:pPr>
        <w:pStyle w:val="CommentText"/>
      </w:pPr>
      <w:r>
        <w:rPr>
          <w:rStyle w:val="CommentReference"/>
        </w:rPr>
        <w:annotationRef/>
      </w:r>
      <w:r>
        <w:t>Make sure about this</w:t>
      </w:r>
    </w:p>
  </w:comment>
  <w:comment w:id="10" w:author="Zarekarizi, Mahkameh" w:date="2019-07-09T11:48:00Z" w:initials="ZM">
    <w:p w14:paraId="2E94CEED" w14:textId="16189E85" w:rsidR="00AA6AA4" w:rsidRDefault="00AA6AA4">
      <w:pPr>
        <w:pStyle w:val="CommentText"/>
      </w:pPr>
      <w:r>
        <w:rPr>
          <w:rStyle w:val="CommentReference"/>
        </w:rPr>
        <w:annotationRef/>
      </w:r>
      <w:r>
        <w:t>Check this figure and remember what Michael Delgado asked you</w:t>
      </w:r>
    </w:p>
  </w:comment>
  <w:comment w:id="11" w:author="Zarekarizi, Mahkameh" w:date="2019-07-09T13:48:00Z" w:initials="ZM">
    <w:p w14:paraId="6AF0A060" w14:textId="03FD5827" w:rsidR="00AA6AA4" w:rsidRDefault="00AA6AA4">
      <w:pPr>
        <w:pStyle w:val="CommentText"/>
      </w:pPr>
      <w:r>
        <w:rPr>
          <w:rStyle w:val="CommentReference"/>
        </w:rPr>
        <w:annotationRef/>
      </w:r>
      <w:r>
        <w:t xml:space="preserve">These numbers are not accurate; fix them </w:t>
      </w:r>
    </w:p>
  </w:comment>
  <w:comment w:id="12" w:author="Zarekarizi, Mahkameh" w:date="2019-07-09T14:24:00Z" w:initials="ZM">
    <w:p w14:paraId="36D3B5C3" w14:textId="59F9C8EA" w:rsidR="00AA6AA4" w:rsidRDefault="00AA6AA4">
      <w:pPr>
        <w:pStyle w:val="CommentText"/>
      </w:pPr>
      <w:r>
        <w:rPr>
          <w:rStyle w:val="CommentReference"/>
        </w:rPr>
        <w:annotationRef/>
      </w:r>
      <w:r>
        <w:t>Fill</w:t>
      </w:r>
    </w:p>
  </w:comment>
  <w:comment w:id="13" w:author="Zarekarizi, Mahkameh" w:date="2019-07-09T14:25:00Z" w:initials="ZM">
    <w:p w14:paraId="5E9D8FA0" w14:textId="6C6506EB" w:rsidR="00AA6AA4" w:rsidRDefault="00AA6AA4">
      <w:pPr>
        <w:pStyle w:val="CommentText"/>
      </w:pPr>
      <w:r>
        <w:rPr>
          <w:rStyle w:val="CommentReference"/>
        </w:rPr>
        <w:annotationRef/>
      </w:r>
      <w:r>
        <w:t>Fill</w:t>
      </w:r>
    </w:p>
  </w:comment>
  <w:comment w:id="14" w:author="Zarekarizi, Mahkameh" w:date="2019-07-10T10:24:00Z" w:initials="ZM">
    <w:p w14:paraId="2E42ADFD" w14:textId="75C2B9E6" w:rsidR="00AA6AA4" w:rsidRDefault="00AA6AA4">
      <w:pPr>
        <w:pStyle w:val="CommentText"/>
      </w:pPr>
      <w:r>
        <w:rPr>
          <w:rStyle w:val="CommentReference"/>
        </w:rPr>
        <w:annotationRef/>
      </w:r>
      <w:r>
        <w:t>Fix the second panel there is no line in the blocked area</w:t>
      </w:r>
    </w:p>
  </w:comment>
  <w:comment w:id="15" w:author="Zarekarizi, Mahkameh" w:date="2019-07-09T14:35:00Z" w:initials="ZM">
    <w:p w14:paraId="2248833D" w14:textId="783674A8" w:rsidR="00AA6AA4" w:rsidRDefault="00AA6AA4">
      <w:pPr>
        <w:pStyle w:val="CommentText"/>
      </w:pPr>
      <w:r>
        <w:rPr>
          <w:rStyle w:val="CommentReference"/>
        </w:rPr>
        <w:annotationRef/>
      </w:r>
      <w:r>
        <w:t xml:space="preserve">Fill please </w:t>
      </w:r>
    </w:p>
  </w:comment>
  <w:comment w:id="16" w:author="Zarekarizi, Mahkameh" w:date="2019-07-10T10:46:00Z" w:initials="ZM">
    <w:p w14:paraId="4802655B" w14:textId="27D9CD0A" w:rsidR="00AA6AA4" w:rsidRDefault="00AA6AA4">
      <w:pPr>
        <w:pStyle w:val="CommentText"/>
      </w:pPr>
      <w:r>
        <w:rPr>
          <w:rStyle w:val="CommentReference"/>
        </w:rPr>
        <w:annotationRef/>
      </w:r>
      <w:r>
        <w:t>Fix pls</w:t>
      </w:r>
    </w:p>
  </w:comment>
  <w:comment w:id="17" w:author="Zarekarizi, Mahkameh" w:date="2019-07-10T10:43:00Z" w:initials="ZM">
    <w:p w14:paraId="739F37B7" w14:textId="0AD1AA9B" w:rsidR="00AA6AA4" w:rsidRDefault="00AA6AA4">
      <w:pPr>
        <w:pStyle w:val="CommentText"/>
      </w:pPr>
      <w:r>
        <w:rPr>
          <w:rStyle w:val="CommentReference"/>
        </w:rPr>
        <w:annotationRef/>
      </w:r>
      <w:r>
        <w:t xml:space="preserve">Fix the colors of the diagram. There should be no light </w:t>
      </w:r>
      <w:proofErr w:type="spellStart"/>
      <w:r>
        <w:t>colros</w:t>
      </w:r>
      <w:proofErr w:type="spellEnd"/>
      <w:r>
        <w:t>.</w:t>
      </w:r>
    </w:p>
  </w:comment>
  <w:comment w:id="18" w:author="Zarekarizi, Mahkameh" w:date="2019-07-10T13:17:00Z" w:initials="ZM">
    <w:p w14:paraId="2A555900" w14:textId="78390A38" w:rsidR="00AA6AA4" w:rsidRDefault="00AA6AA4">
      <w:pPr>
        <w:pStyle w:val="CommentText"/>
      </w:pPr>
      <w:r>
        <w:rPr>
          <w:rStyle w:val="CommentReference"/>
        </w:rPr>
        <w:annotationRef/>
      </w:r>
      <w:r>
        <w:t xml:space="preserve">You did not </w:t>
      </w:r>
      <w:proofErr w:type="spellStart"/>
      <w:r>
        <w:t>edplain</w:t>
      </w:r>
      <w:proofErr w:type="spellEnd"/>
      <w:r>
        <w:t xml:space="preserve"> CART. Add it. (Maybe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AB4EB1" w15:done="0"/>
  <w15:commentEx w15:paraId="104BCC80" w15:done="0"/>
  <w15:commentEx w15:paraId="5510A32C" w15:done="0"/>
  <w15:commentEx w15:paraId="6D870384" w15:done="0"/>
  <w15:commentEx w15:paraId="00BE3526" w15:done="0"/>
  <w15:commentEx w15:paraId="18DD6F01" w15:done="0"/>
  <w15:commentEx w15:paraId="3801653B" w15:done="0"/>
  <w15:commentEx w15:paraId="6B427636" w15:done="0"/>
  <w15:commentEx w15:paraId="14B63BBF" w15:done="0"/>
  <w15:commentEx w15:paraId="2E94CEED" w15:done="0"/>
  <w15:commentEx w15:paraId="6AF0A060" w15:done="0"/>
  <w15:commentEx w15:paraId="36D3B5C3" w15:done="0"/>
  <w15:commentEx w15:paraId="5E9D8FA0" w15:done="0"/>
  <w15:commentEx w15:paraId="2E42ADFD" w15:done="0"/>
  <w15:commentEx w15:paraId="2248833D" w15:done="0"/>
  <w15:commentEx w15:paraId="4802655B" w15:done="0"/>
  <w15:commentEx w15:paraId="739F37B7" w15:done="0"/>
  <w15:commentEx w15:paraId="2A5559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AB4EB1" w16cid:durableId="20DB2CD8"/>
  <w16cid:commentId w16cid:paraId="104BCC80" w16cid:durableId="20E5A0AB"/>
  <w16cid:commentId w16cid:paraId="5510A32C" w16cid:durableId="20DB2328"/>
  <w16cid:commentId w16cid:paraId="6D870384" w16cid:durableId="20DB2314"/>
  <w16cid:commentId w16cid:paraId="00BE3526" w16cid:durableId="20E97D6B"/>
  <w16cid:commentId w16cid:paraId="18DD6F01" w16cid:durableId="20E9B897"/>
  <w16cid:commentId w16cid:paraId="3801653B" w16cid:durableId="20EAA6B1"/>
  <w16cid:commentId w16cid:paraId="6B427636" w16cid:durableId="20CEE53F"/>
  <w16cid:commentId w16cid:paraId="14B63BBF" w16cid:durableId="20CEF2BD"/>
  <w16cid:commentId w16cid:paraId="2E94CEED" w16cid:durableId="20CEFDA7"/>
  <w16cid:commentId w16cid:paraId="6AF0A060" w16cid:durableId="20CF19AE"/>
  <w16cid:commentId w16cid:paraId="36D3B5C3" w16cid:durableId="20CF223B"/>
  <w16cid:commentId w16cid:paraId="5E9D8FA0" w16cid:durableId="20CF2240"/>
  <w16cid:commentId w16cid:paraId="2E42ADFD" w16cid:durableId="20D03B45"/>
  <w16cid:commentId w16cid:paraId="2248833D" w16cid:durableId="20CF24CF"/>
  <w16cid:commentId w16cid:paraId="4802655B" w16cid:durableId="20D0407D"/>
  <w16cid:commentId w16cid:paraId="739F37B7" w16cid:durableId="20D03FD2"/>
  <w16cid:commentId w16cid:paraId="2A555900" w16cid:durableId="20D063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C70E3" w14:textId="77777777" w:rsidR="001172CC" w:rsidRDefault="001172CC" w:rsidP="00F00150">
      <w:pPr>
        <w:spacing w:before="0" w:after="0" w:line="240" w:lineRule="auto"/>
      </w:pPr>
      <w:r>
        <w:separator/>
      </w:r>
    </w:p>
  </w:endnote>
  <w:endnote w:type="continuationSeparator" w:id="0">
    <w:p w14:paraId="084210B6" w14:textId="77777777" w:rsidR="001172CC" w:rsidRDefault="001172CC" w:rsidP="00F001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7242"/>
      <w:docPartObj>
        <w:docPartGallery w:val="Page Numbers (Bottom of Page)"/>
        <w:docPartUnique/>
      </w:docPartObj>
    </w:sdtPr>
    <w:sdtContent>
      <w:p w14:paraId="5C87DAB5" w14:textId="77777777" w:rsidR="00AA6AA4" w:rsidRDefault="00AA6AA4" w:rsidP="00C366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DE48AA" w14:textId="77777777" w:rsidR="00AA6AA4" w:rsidRDefault="00AA6A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6272515"/>
      <w:docPartObj>
        <w:docPartGallery w:val="Page Numbers (Bottom of Page)"/>
        <w:docPartUnique/>
      </w:docPartObj>
    </w:sdtPr>
    <w:sdtContent>
      <w:p w14:paraId="1D947CCC" w14:textId="77777777" w:rsidR="00AA6AA4" w:rsidRDefault="00AA6AA4" w:rsidP="00C366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84643E" w14:textId="77777777" w:rsidR="00AA6AA4" w:rsidRDefault="00AA6A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2703701"/>
      <w:docPartObj>
        <w:docPartGallery w:val="Page Numbers (Bottom of Page)"/>
        <w:docPartUnique/>
      </w:docPartObj>
    </w:sdtPr>
    <w:sdtContent>
      <w:p w14:paraId="6AA6FC71" w14:textId="6FC07C79" w:rsidR="00AA6AA4" w:rsidRDefault="00AA6AA4" w:rsidP="00C366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C4B029" w14:textId="77777777" w:rsidR="00AA6AA4" w:rsidRDefault="00AA6A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7474216"/>
      <w:docPartObj>
        <w:docPartGallery w:val="Page Numbers (Bottom of Page)"/>
        <w:docPartUnique/>
      </w:docPartObj>
    </w:sdtPr>
    <w:sdtContent>
      <w:p w14:paraId="42D473C6" w14:textId="588E24D2" w:rsidR="00AA6AA4" w:rsidRDefault="00AA6AA4" w:rsidP="00C366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E0DEE8" w14:textId="77777777" w:rsidR="00AA6AA4" w:rsidRDefault="00AA6A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E905A" w14:textId="77777777" w:rsidR="001172CC" w:rsidRDefault="001172CC" w:rsidP="00F00150">
      <w:pPr>
        <w:spacing w:before="0" w:after="0" w:line="240" w:lineRule="auto"/>
      </w:pPr>
      <w:r>
        <w:separator/>
      </w:r>
    </w:p>
  </w:footnote>
  <w:footnote w:type="continuationSeparator" w:id="0">
    <w:p w14:paraId="72A1B3DB" w14:textId="77777777" w:rsidR="001172CC" w:rsidRDefault="001172CC" w:rsidP="00F0015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4944"/>
    <w:multiLevelType w:val="hybridMultilevel"/>
    <w:tmpl w:val="D5C43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79A7"/>
    <w:multiLevelType w:val="hybridMultilevel"/>
    <w:tmpl w:val="AA66B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96237"/>
    <w:multiLevelType w:val="hybridMultilevel"/>
    <w:tmpl w:val="60ECC7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2F4E0C"/>
    <w:multiLevelType w:val="hybridMultilevel"/>
    <w:tmpl w:val="C7EE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930C04"/>
    <w:multiLevelType w:val="multilevel"/>
    <w:tmpl w:val="0CBE39C2"/>
    <w:lvl w:ilvl="0">
      <w:start w:val="1"/>
      <w:numFmt w:val="decimal"/>
      <w:pStyle w:val="Heading1"/>
      <w:suff w:val="space"/>
      <w:lvlText w:val="%1)"/>
      <w:lvlJc w:val="left"/>
      <w:pPr>
        <w:ind w:left="0" w:firstLine="0"/>
      </w:pPr>
      <w:rPr>
        <w:rFonts w:ascii="Times New Roman" w:hAnsi="Times New Roman" w:hint="default"/>
        <w:b/>
        <w:i w:val="0"/>
        <w:sz w:val="24"/>
      </w:rPr>
    </w:lvl>
    <w:lvl w:ilvl="1">
      <w:start w:val="1"/>
      <w:numFmt w:val="decimal"/>
      <w:pStyle w:val="Heading2"/>
      <w:suff w:val="space"/>
      <w:lvlText w:val="%1.%2)"/>
      <w:lvlJc w:val="left"/>
      <w:pPr>
        <w:ind w:left="0" w:firstLine="0"/>
      </w:pPr>
      <w:rPr>
        <w:rFonts w:ascii="Times New Roman" w:hAnsi="Times New Roman" w:hint="default"/>
        <w:b/>
        <w:i w:val="0"/>
        <w:sz w:val="24"/>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88"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2637423"/>
    <w:multiLevelType w:val="hybridMultilevel"/>
    <w:tmpl w:val="6CC6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172766"/>
    <w:multiLevelType w:val="hybridMultilevel"/>
    <w:tmpl w:val="6E285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EC20D3"/>
    <w:multiLevelType w:val="hybridMultilevel"/>
    <w:tmpl w:val="DE4805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D173E0"/>
    <w:multiLevelType w:val="hybridMultilevel"/>
    <w:tmpl w:val="680CF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C0EBA"/>
    <w:multiLevelType w:val="hybridMultilevel"/>
    <w:tmpl w:val="547E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E24C48"/>
    <w:multiLevelType w:val="hybridMultilevel"/>
    <w:tmpl w:val="51DC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9"/>
  </w:num>
  <w:num w:numId="5">
    <w:abstractNumId w:val="3"/>
  </w:num>
  <w:num w:numId="6">
    <w:abstractNumId w:val="5"/>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0"/>
  </w:num>
  <w:num w:numId="14">
    <w:abstractNumId w:val="0"/>
  </w:num>
  <w:num w:numId="15">
    <w:abstractNumId w:val="2"/>
  </w:num>
  <w:num w:numId="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arekarizi, Mahkameh">
    <w15:presenceInfo w15:providerId="AD" w15:userId="S::mxz414@psu.edu::a9031729-9aef-4ee6-984b-cd1faea3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D4"/>
    <w:rsid w:val="00011CA1"/>
    <w:rsid w:val="00015ACA"/>
    <w:rsid w:val="00023990"/>
    <w:rsid w:val="0002792A"/>
    <w:rsid w:val="00030CAA"/>
    <w:rsid w:val="00037E6A"/>
    <w:rsid w:val="000514FF"/>
    <w:rsid w:val="00060CBB"/>
    <w:rsid w:val="00064969"/>
    <w:rsid w:val="00071D70"/>
    <w:rsid w:val="00071DC2"/>
    <w:rsid w:val="00073EC8"/>
    <w:rsid w:val="00090947"/>
    <w:rsid w:val="00092A5B"/>
    <w:rsid w:val="00095B98"/>
    <w:rsid w:val="000A0485"/>
    <w:rsid w:val="000B10D4"/>
    <w:rsid w:val="000C3325"/>
    <w:rsid w:val="000C67B1"/>
    <w:rsid w:val="000E2DF1"/>
    <w:rsid w:val="000E75DB"/>
    <w:rsid w:val="000F1DCA"/>
    <w:rsid w:val="00116EA2"/>
    <w:rsid w:val="001172CC"/>
    <w:rsid w:val="00120F72"/>
    <w:rsid w:val="00121EAB"/>
    <w:rsid w:val="001248CA"/>
    <w:rsid w:val="00153A50"/>
    <w:rsid w:val="0015636A"/>
    <w:rsid w:val="001611BA"/>
    <w:rsid w:val="001712A4"/>
    <w:rsid w:val="00182675"/>
    <w:rsid w:val="00182E42"/>
    <w:rsid w:val="00184C89"/>
    <w:rsid w:val="0019148F"/>
    <w:rsid w:val="001A10F2"/>
    <w:rsid w:val="001A19AD"/>
    <w:rsid w:val="001D16D4"/>
    <w:rsid w:val="001D1925"/>
    <w:rsid w:val="001D586C"/>
    <w:rsid w:val="001E468E"/>
    <w:rsid w:val="001F24BA"/>
    <w:rsid w:val="001F4B7F"/>
    <w:rsid w:val="001F649D"/>
    <w:rsid w:val="001F71D0"/>
    <w:rsid w:val="00202EDF"/>
    <w:rsid w:val="00213D56"/>
    <w:rsid w:val="0022198C"/>
    <w:rsid w:val="00224D3E"/>
    <w:rsid w:val="00225A88"/>
    <w:rsid w:val="00225EEF"/>
    <w:rsid w:val="002300F4"/>
    <w:rsid w:val="00244991"/>
    <w:rsid w:val="00244D80"/>
    <w:rsid w:val="00247694"/>
    <w:rsid w:val="0025090F"/>
    <w:rsid w:val="0025381F"/>
    <w:rsid w:val="00267E2A"/>
    <w:rsid w:val="002810EE"/>
    <w:rsid w:val="002A6DA2"/>
    <w:rsid w:val="002B1313"/>
    <w:rsid w:val="002C2AC5"/>
    <w:rsid w:val="002C320B"/>
    <w:rsid w:val="002C3622"/>
    <w:rsid w:val="002C65A4"/>
    <w:rsid w:val="002D201D"/>
    <w:rsid w:val="002D2A5F"/>
    <w:rsid w:val="002D3FF8"/>
    <w:rsid w:val="002E241F"/>
    <w:rsid w:val="002E6CAC"/>
    <w:rsid w:val="00304AC8"/>
    <w:rsid w:val="0030722C"/>
    <w:rsid w:val="00316B00"/>
    <w:rsid w:val="00320B07"/>
    <w:rsid w:val="003244F7"/>
    <w:rsid w:val="0033253F"/>
    <w:rsid w:val="003335CF"/>
    <w:rsid w:val="00340D00"/>
    <w:rsid w:val="00343EFA"/>
    <w:rsid w:val="00352B62"/>
    <w:rsid w:val="003659BD"/>
    <w:rsid w:val="00383B95"/>
    <w:rsid w:val="00383CD1"/>
    <w:rsid w:val="003861A8"/>
    <w:rsid w:val="00390227"/>
    <w:rsid w:val="003A6273"/>
    <w:rsid w:val="003B125C"/>
    <w:rsid w:val="003B211C"/>
    <w:rsid w:val="003B722F"/>
    <w:rsid w:val="003D24C5"/>
    <w:rsid w:val="003D4B60"/>
    <w:rsid w:val="003E3B42"/>
    <w:rsid w:val="003F2986"/>
    <w:rsid w:val="003F7A03"/>
    <w:rsid w:val="0040432A"/>
    <w:rsid w:val="00413108"/>
    <w:rsid w:val="00421495"/>
    <w:rsid w:val="00421ADB"/>
    <w:rsid w:val="00422709"/>
    <w:rsid w:val="00424B56"/>
    <w:rsid w:val="00433AD5"/>
    <w:rsid w:val="004343B6"/>
    <w:rsid w:val="00447CE6"/>
    <w:rsid w:val="004550D1"/>
    <w:rsid w:val="00455638"/>
    <w:rsid w:val="004708B1"/>
    <w:rsid w:val="00487B55"/>
    <w:rsid w:val="00493442"/>
    <w:rsid w:val="00495573"/>
    <w:rsid w:val="004B2EA7"/>
    <w:rsid w:val="004B7C90"/>
    <w:rsid w:val="004C1FBE"/>
    <w:rsid w:val="004C5B21"/>
    <w:rsid w:val="004C6151"/>
    <w:rsid w:val="004D2D2F"/>
    <w:rsid w:val="004D622D"/>
    <w:rsid w:val="004E40F9"/>
    <w:rsid w:val="0051412B"/>
    <w:rsid w:val="00515EBC"/>
    <w:rsid w:val="0052433E"/>
    <w:rsid w:val="005300C7"/>
    <w:rsid w:val="00532B8F"/>
    <w:rsid w:val="0053593A"/>
    <w:rsid w:val="00537516"/>
    <w:rsid w:val="0053770B"/>
    <w:rsid w:val="00541830"/>
    <w:rsid w:val="00542C4C"/>
    <w:rsid w:val="00543FC9"/>
    <w:rsid w:val="0055461C"/>
    <w:rsid w:val="00554D87"/>
    <w:rsid w:val="00564008"/>
    <w:rsid w:val="00575722"/>
    <w:rsid w:val="00575A4E"/>
    <w:rsid w:val="00581F33"/>
    <w:rsid w:val="0058341E"/>
    <w:rsid w:val="00584045"/>
    <w:rsid w:val="00590147"/>
    <w:rsid w:val="00593319"/>
    <w:rsid w:val="005A53EF"/>
    <w:rsid w:val="005B5F9E"/>
    <w:rsid w:val="005D37FC"/>
    <w:rsid w:val="005D38AE"/>
    <w:rsid w:val="005E0B49"/>
    <w:rsid w:val="005E2910"/>
    <w:rsid w:val="005E44C2"/>
    <w:rsid w:val="005F0DAD"/>
    <w:rsid w:val="00604CE8"/>
    <w:rsid w:val="00614741"/>
    <w:rsid w:val="00615AD3"/>
    <w:rsid w:val="00616F36"/>
    <w:rsid w:val="006200B5"/>
    <w:rsid w:val="0062183D"/>
    <w:rsid w:val="00626FB7"/>
    <w:rsid w:val="00630914"/>
    <w:rsid w:val="00630BE9"/>
    <w:rsid w:val="006332A0"/>
    <w:rsid w:val="00641452"/>
    <w:rsid w:val="00656EC7"/>
    <w:rsid w:val="00660FE7"/>
    <w:rsid w:val="00662249"/>
    <w:rsid w:val="006629E4"/>
    <w:rsid w:val="0066703F"/>
    <w:rsid w:val="00674C41"/>
    <w:rsid w:val="00677AC2"/>
    <w:rsid w:val="006848DF"/>
    <w:rsid w:val="00685AD0"/>
    <w:rsid w:val="006907FB"/>
    <w:rsid w:val="00693A5D"/>
    <w:rsid w:val="00694CCD"/>
    <w:rsid w:val="006A1045"/>
    <w:rsid w:val="006A1A09"/>
    <w:rsid w:val="006A66D3"/>
    <w:rsid w:val="006A6D81"/>
    <w:rsid w:val="006B380B"/>
    <w:rsid w:val="006B4FEF"/>
    <w:rsid w:val="006C441F"/>
    <w:rsid w:val="006D104F"/>
    <w:rsid w:val="006D6E31"/>
    <w:rsid w:val="006D7968"/>
    <w:rsid w:val="006D7F3A"/>
    <w:rsid w:val="006E021D"/>
    <w:rsid w:val="006E1DC0"/>
    <w:rsid w:val="006E2991"/>
    <w:rsid w:val="006E2FB8"/>
    <w:rsid w:val="006E63FB"/>
    <w:rsid w:val="006F6046"/>
    <w:rsid w:val="00700B2F"/>
    <w:rsid w:val="00711553"/>
    <w:rsid w:val="007158F0"/>
    <w:rsid w:val="00726AEE"/>
    <w:rsid w:val="00732344"/>
    <w:rsid w:val="00732F29"/>
    <w:rsid w:val="00737199"/>
    <w:rsid w:val="00743B06"/>
    <w:rsid w:val="00743F5E"/>
    <w:rsid w:val="00744578"/>
    <w:rsid w:val="007463D4"/>
    <w:rsid w:val="007517EF"/>
    <w:rsid w:val="007522CD"/>
    <w:rsid w:val="00753F44"/>
    <w:rsid w:val="00755671"/>
    <w:rsid w:val="00755BE7"/>
    <w:rsid w:val="007663C9"/>
    <w:rsid w:val="0077115A"/>
    <w:rsid w:val="007766F0"/>
    <w:rsid w:val="00776DDA"/>
    <w:rsid w:val="00780677"/>
    <w:rsid w:val="007813D6"/>
    <w:rsid w:val="007867F2"/>
    <w:rsid w:val="007874C6"/>
    <w:rsid w:val="00787746"/>
    <w:rsid w:val="007A0CA7"/>
    <w:rsid w:val="007A7DD3"/>
    <w:rsid w:val="007B3F2D"/>
    <w:rsid w:val="007C1471"/>
    <w:rsid w:val="007C29CF"/>
    <w:rsid w:val="007C3C62"/>
    <w:rsid w:val="007C6FFB"/>
    <w:rsid w:val="007D3EF7"/>
    <w:rsid w:val="007D4252"/>
    <w:rsid w:val="007D5570"/>
    <w:rsid w:val="007E0249"/>
    <w:rsid w:val="007E0AA4"/>
    <w:rsid w:val="007E2EE4"/>
    <w:rsid w:val="007E54E9"/>
    <w:rsid w:val="007E56D2"/>
    <w:rsid w:val="007F7DD3"/>
    <w:rsid w:val="008327D6"/>
    <w:rsid w:val="00835268"/>
    <w:rsid w:val="008372ED"/>
    <w:rsid w:val="008440E1"/>
    <w:rsid w:val="00845F17"/>
    <w:rsid w:val="008565C5"/>
    <w:rsid w:val="00856FBD"/>
    <w:rsid w:val="00864A23"/>
    <w:rsid w:val="008705B6"/>
    <w:rsid w:val="008738D2"/>
    <w:rsid w:val="00886575"/>
    <w:rsid w:val="0089058E"/>
    <w:rsid w:val="00891431"/>
    <w:rsid w:val="008963BB"/>
    <w:rsid w:val="00897152"/>
    <w:rsid w:val="008A3605"/>
    <w:rsid w:val="008A3E77"/>
    <w:rsid w:val="008B2E14"/>
    <w:rsid w:val="008B618E"/>
    <w:rsid w:val="008C11B2"/>
    <w:rsid w:val="008C1319"/>
    <w:rsid w:val="008E6EE9"/>
    <w:rsid w:val="008F0FC4"/>
    <w:rsid w:val="008F3AA3"/>
    <w:rsid w:val="009002AF"/>
    <w:rsid w:val="00902B58"/>
    <w:rsid w:val="00906066"/>
    <w:rsid w:val="00914004"/>
    <w:rsid w:val="009239E0"/>
    <w:rsid w:val="00933E7F"/>
    <w:rsid w:val="00934B7B"/>
    <w:rsid w:val="00934C46"/>
    <w:rsid w:val="00937097"/>
    <w:rsid w:val="00937DC7"/>
    <w:rsid w:val="00941CE4"/>
    <w:rsid w:val="00944CC8"/>
    <w:rsid w:val="0094758E"/>
    <w:rsid w:val="009548EF"/>
    <w:rsid w:val="00954B42"/>
    <w:rsid w:val="00955D54"/>
    <w:rsid w:val="009610CF"/>
    <w:rsid w:val="00961F0E"/>
    <w:rsid w:val="00966A92"/>
    <w:rsid w:val="00982362"/>
    <w:rsid w:val="009854C3"/>
    <w:rsid w:val="00987DC7"/>
    <w:rsid w:val="009932B4"/>
    <w:rsid w:val="0099414D"/>
    <w:rsid w:val="00994C21"/>
    <w:rsid w:val="00994F19"/>
    <w:rsid w:val="00994F54"/>
    <w:rsid w:val="009A34A2"/>
    <w:rsid w:val="009A3F88"/>
    <w:rsid w:val="009B444B"/>
    <w:rsid w:val="009B6444"/>
    <w:rsid w:val="009C102A"/>
    <w:rsid w:val="009C4CE1"/>
    <w:rsid w:val="009D7A58"/>
    <w:rsid w:val="009E0C5E"/>
    <w:rsid w:val="009F0693"/>
    <w:rsid w:val="009F45DA"/>
    <w:rsid w:val="00A10E6E"/>
    <w:rsid w:val="00A40AC6"/>
    <w:rsid w:val="00A4308B"/>
    <w:rsid w:val="00A44264"/>
    <w:rsid w:val="00A46885"/>
    <w:rsid w:val="00A52024"/>
    <w:rsid w:val="00A65EF7"/>
    <w:rsid w:val="00A66110"/>
    <w:rsid w:val="00A769A5"/>
    <w:rsid w:val="00A80D94"/>
    <w:rsid w:val="00A82A81"/>
    <w:rsid w:val="00A90B77"/>
    <w:rsid w:val="00A970CD"/>
    <w:rsid w:val="00AA0398"/>
    <w:rsid w:val="00AA4D55"/>
    <w:rsid w:val="00AA6AA4"/>
    <w:rsid w:val="00AB2D78"/>
    <w:rsid w:val="00AD2722"/>
    <w:rsid w:val="00AD2B90"/>
    <w:rsid w:val="00AD46DD"/>
    <w:rsid w:val="00AE4518"/>
    <w:rsid w:val="00B052D0"/>
    <w:rsid w:val="00B1001E"/>
    <w:rsid w:val="00B15833"/>
    <w:rsid w:val="00B3296D"/>
    <w:rsid w:val="00B358D9"/>
    <w:rsid w:val="00B42676"/>
    <w:rsid w:val="00B502A2"/>
    <w:rsid w:val="00B5410B"/>
    <w:rsid w:val="00B554D5"/>
    <w:rsid w:val="00B636A8"/>
    <w:rsid w:val="00BA015B"/>
    <w:rsid w:val="00BB4BAF"/>
    <w:rsid w:val="00BB5CEE"/>
    <w:rsid w:val="00BC433B"/>
    <w:rsid w:val="00BD6250"/>
    <w:rsid w:val="00BE7F2F"/>
    <w:rsid w:val="00BF3E19"/>
    <w:rsid w:val="00BF53D1"/>
    <w:rsid w:val="00C03915"/>
    <w:rsid w:val="00C136AE"/>
    <w:rsid w:val="00C17AEA"/>
    <w:rsid w:val="00C23CE3"/>
    <w:rsid w:val="00C27537"/>
    <w:rsid w:val="00C366DD"/>
    <w:rsid w:val="00C434A7"/>
    <w:rsid w:val="00C44E7E"/>
    <w:rsid w:val="00C47683"/>
    <w:rsid w:val="00C50928"/>
    <w:rsid w:val="00C5227F"/>
    <w:rsid w:val="00C6657A"/>
    <w:rsid w:val="00C67828"/>
    <w:rsid w:val="00C76984"/>
    <w:rsid w:val="00C84646"/>
    <w:rsid w:val="00C97726"/>
    <w:rsid w:val="00CB11AA"/>
    <w:rsid w:val="00CB2E6D"/>
    <w:rsid w:val="00CC086C"/>
    <w:rsid w:val="00CC5570"/>
    <w:rsid w:val="00CC627A"/>
    <w:rsid w:val="00CE4731"/>
    <w:rsid w:val="00CF2D81"/>
    <w:rsid w:val="00CF4092"/>
    <w:rsid w:val="00D00541"/>
    <w:rsid w:val="00D00D71"/>
    <w:rsid w:val="00D04199"/>
    <w:rsid w:val="00D055BF"/>
    <w:rsid w:val="00D113DB"/>
    <w:rsid w:val="00D1554C"/>
    <w:rsid w:val="00D17A5C"/>
    <w:rsid w:val="00D24DC2"/>
    <w:rsid w:val="00D303A3"/>
    <w:rsid w:val="00D60EC1"/>
    <w:rsid w:val="00D67041"/>
    <w:rsid w:val="00D72388"/>
    <w:rsid w:val="00D82386"/>
    <w:rsid w:val="00D86A50"/>
    <w:rsid w:val="00D86CEA"/>
    <w:rsid w:val="00D9652E"/>
    <w:rsid w:val="00DA0997"/>
    <w:rsid w:val="00DA0D98"/>
    <w:rsid w:val="00DA4813"/>
    <w:rsid w:val="00DA7F2D"/>
    <w:rsid w:val="00DB1AF9"/>
    <w:rsid w:val="00DB22A6"/>
    <w:rsid w:val="00DB283E"/>
    <w:rsid w:val="00DC3E99"/>
    <w:rsid w:val="00DD1329"/>
    <w:rsid w:val="00DD6922"/>
    <w:rsid w:val="00DF23B5"/>
    <w:rsid w:val="00DF57C7"/>
    <w:rsid w:val="00DF5E5A"/>
    <w:rsid w:val="00E12214"/>
    <w:rsid w:val="00E13774"/>
    <w:rsid w:val="00E13F6D"/>
    <w:rsid w:val="00E20C7C"/>
    <w:rsid w:val="00E23856"/>
    <w:rsid w:val="00E41C3C"/>
    <w:rsid w:val="00E46970"/>
    <w:rsid w:val="00E47192"/>
    <w:rsid w:val="00E6560B"/>
    <w:rsid w:val="00E65632"/>
    <w:rsid w:val="00E66449"/>
    <w:rsid w:val="00E80866"/>
    <w:rsid w:val="00E85A51"/>
    <w:rsid w:val="00E87374"/>
    <w:rsid w:val="00E93F19"/>
    <w:rsid w:val="00E9559D"/>
    <w:rsid w:val="00E958D7"/>
    <w:rsid w:val="00EB02E7"/>
    <w:rsid w:val="00EB21E3"/>
    <w:rsid w:val="00EB2C50"/>
    <w:rsid w:val="00EB3235"/>
    <w:rsid w:val="00EC39F8"/>
    <w:rsid w:val="00ED2D95"/>
    <w:rsid w:val="00ED33DA"/>
    <w:rsid w:val="00EE1887"/>
    <w:rsid w:val="00EE26E9"/>
    <w:rsid w:val="00EF0424"/>
    <w:rsid w:val="00EF3C38"/>
    <w:rsid w:val="00F00150"/>
    <w:rsid w:val="00F01333"/>
    <w:rsid w:val="00F02451"/>
    <w:rsid w:val="00F03D68"/>
    <w:rsid w:val="00F113A7"/>
    <w:rsid w:val="00F150D5"/>
    <w:rsid w:val="00F15518"/>
    <w:rsid w:val="00F17BAD"/>
    <w:rsid w:val="00F208F5"/>
    <w:rsid w:val="00F3075A"/>
    <w:rsid w:val="00F30E9B"/>
    <w:rsid w:val="00F401D9"/>
    <w:rsid w:val="00F4702E"/>
    <w:rsid w:val="00F5171E"/>
    <w:rsid w:val="00F53F60"/>
    <w:rsid w:val="00F57DB7"/>
    <w:rsid w:val="00F60E5A"/>
    <w:rsid w:val="00F655A1"/>
    <w:rsid w:val="00F743DD"/>
    <w:rsid w:val="00F75514"/>
    <w:rsid w:val="00F82542"/>
    <w:rsid w:val="00F82876"/>
    <w:rsid w:val="00F8562B"/>
    <w:rsid w:val="00F92963"/>
    <w:rsid w:val="00F93755"/>
    <w:rsid w:val="00FA7420"/>
    <w:rsid w:val="00FB778D"/>
    <w:rsid w:val="00FE008F"/>
    <w:rsid w:val="00FE7BAE"/>
    <w:rsid w:val="00FF3E8F"/>
    <w:rsid w:val="00FF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B63E1"/>
  <w15:chartTrackingRefBased/>
  <w15:docId w15:val="{630E9FFF-11B9-BA41-895E-976B21ECB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0C7"/>
    <w:pPr>
      <w:spacing w:before="120" w:after="120" w:line="360" w:lineRule="auto"/>
      <w:jc w:val="both"/>
    </w:pPr>
    <w:rPr>
      <w:rFonts w:ascii="Times New Roman" w:eastAsia="Times New Roman" w:hAnsi="Times New Roman" w:cs="Arial"/>
      <w:color w:val="000000"/>
      <w:szCs w:val="22"/>
    </w:rPr>
  </w:style>
  <w:style w:type="paragraph" w:styleId="Heading1">
    <w:name w:val="heading 1"/>
    <w:basedOn w:val="Normal"/>
    <w:link w:val="Heading1Char"/>
    <w:uiPriority w:val="9"/>
    <w:qFormat/>
    <w:rsid w:val="0094758E"/>
    <w:pPr>
      <w:numPr>
        <w:numId w:val="1"/>
      </w:numPr>
      <w:spacing w:before="100" w:beforeAutospacing="1" w:after="100" w:afterAutospacing="1"/>
      <w:outlineLvl w:val="0"/>
    </w:pPr>
    <w:rPr>
      <w:rFonts w:cs="Times New Roman"/>
      <w:b/>
      <w:bCs/>
      <w:kern w:val="36"/>
      <w:szCs w:val="24"/>
    </w:rPr>
  </w:style>
  <w:style w:type="paragraph" w:styleId="Heading2">
    <w:name w:val="heading 2"/>
    <w:basedOn w:val="Normal"/>
    <w:link w:val="Heading2Char"/>
    <w:uiPriority w:val="9"/>
    <w:qFormat/>
    <w:rsid w:val="0094758E"/>
    <w:pPr>
      <w:numPr>
        <w:ilvl w:val="1"/>
        <w:numId w:val="1"/>
      </w:numPr>
      <w:outlineLvl w:val="1"/>
    </w:pPr>
    <w:rPr>
      <w:b/>
      <w:bCs/>
    </w:rPr>
  </w:style>
  <w:style w:type="paragraph" w:styleId="Heading3">
    <w:name w:val="heading 3"/>
    <w:basedOn w:val="Normal"/>
    <w:next w:val="Normal"/>
    <w:link w:val="Heading3Char"/>
    <w:uiPriority w:val="9"/>
    <w:unhideWhenUsed/>
    <w:qFormat/>
    <w:rsid w:val="005300C7"/>
    <w:pPr>
      <w:keepNext/>
      <w:keepLines/>
      <w:numPr>
        <w:ilvl w:val="2"/>
        <w:numId w:val="1"/>
      </w:numPr>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58E"/>
    <w:rPr>
      <w:rFonts w:ascii="Times New Roman" w:eastAsia="Times New Roman" w:hAnsi="Times New Roman" w:cs="Times New Roman"/>
      <w:b/>
      <w:bCs/>
      <w:color w:val="000000"/>
      <w:kern w:val="36"/>
    </w:rPr>
  </w:style>
  <w:style w:type="character" w:customStyle="1" w:styleId="Heading2Char">
    <w:name w:val="Heading 2 Char"/>
    <w:basedOn w:val="DefaultParagraphFont"/>
    <w:link w:val="Heading2"/>
    <w:uiPriority w:val="9"/>
    <w:rsid w:val="0094758E"/>
    <w:rPr>
      <w:rFonts w:ascii="Times New Roman" w:eastAsia="Times New Roman" w:hAnsi="Times New Roman" w:cs="Arial"/>
      <w:b/>
      <w:bCs/>
      <w:color w:val="000000"/>
      <w:szCs w:val="22"/>
    </w:rPr>
  </w:style>
  <w:style w:type="paragraph" w:styleId="NormalWeb">
    <w:name w:val="Normal (Web)"/>
    <w:basedOn w:val="Normal"/>
    <w:uiPriority w:val="99"/>
    <w:semiHidden/>
    <w:unhideWhenUsed/>
    <w:rsid w:val="007463D4"/>
    <w:pPr>
      <w:spacing w:before="100" w:beforeAutospacing="1" w:after="100" w:afterAutospacing="1"/>
    </w:pPr>
    <w:rPr>
      <w:rFonts w:cs="Times New Roman"/>
    </w:rPr>
  </w:style>
  <w:style w:type="paragraph" w:styleId="BalloonText">
    <w:name w:val="Balloon Text"/>
    <w:basedOn w:val="Normal"/>
    <w:link w:val="BalloonTextChar"/>
    <w:uiPriority w:val="99"/>
    <w:semiHidden/>
    <w:unhideWhenUsed/>
    <w:rsid w:val="007463D4"/>
    <w:rPr>
      <w:rFonts w:cs="Times New Roman"/>
      <w:sz w:val="18"/>
      <w:szCs w:val="18"/>
    </w:rPr>
  </w:style>
  <w:style w:type="character" w:customStyle="1" w:styleId="BalloonTextChar">
    <w:name w:val="Balloon Text Char"/>
    <w:basedOn w:val="DefaultParagraphFont"/>
    <w:link w:val="BalloonText"/>
    <w:uiPriority w:val="99"/>
    <w:semiHidden/>
    <w:rsid w:val="007463D4"/>
    <w:rPr>
      <w:rFonts w:ascii="Times New Roman" w:hAnsi="Times New Roman" w:cs="Times New Roman"/>
      <w:sz w:val="18"/>
      <w:szCs w:val="18"/>
    </w:rPr>
  </w:style>
  <w:style w:type="table" w:styleId="TableGrid">
    <w:name w:val="Table Grid"/>
    <w:basedOn w:val="TableNormal"/>
    <w:uiPriority w:val="39"/>
    <w:rsid w:val="00FE00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300C7"/>
    <w:rPr>
      <w:rFonts w:ascii="Times New Roman" w:eastAsiaTheme="majorEastAsia" w:hAnsi="Times New Roman" w:cstheme="majorBidi"/>
      <w:b/>
      <w:color w:val="000000" w:themeColor="text1"/>
    </w:rPr>
  </w:style>
  <w:style w:type="paragraph" w:styleId="ListParagraph">
    <w:name w:val="List Paragraph"/>
    <w:basedOn w:val="Normal"/>
    <w:uiPriority w:val="34"/>
    <w:qFormat/>
    <w:rsid w:val="00BD6250"/>
    <w:pPr>
      <w:ind w:left="720"/>
      <w:contextualSpacing/>
    </w:pPr>
  </w:style>
  <w:style w:type="character" w:styleId="PlaceholderText">
    <w:name w:val="Placeholder Text"/>
    <w:basedOn w:val="DefaultParagraphFont"/>
    <w:uiPriority w:val="99"/>
    <w:semiHidden/>
    <w:rsid w:val="007663C9"/>
    <w:rPr>
      <w:color w:val="808080"/>
    </w:rPr>
  </w:style>
  <w:style w:type="character" w:styleId="CommentReference">
    <w:name w:val="annotation reference"/>
    <w:basedOn w:val="DefaultParagraphFont"/>
    <w:uiPriority w:val="99"/>
    <w:semiHidden/>
    <w:unhideWhenUsed/>
    <w:rsid w:val="00A52024"/>
    <w:rPr>
      <w:sz w:val="16"/>
      <w:szCs w:val="16"/>
    </w:rPr>
  </w:style>
  <w:style w:type="paragraph" w:styleId="CommentText">
    <w:name w:val="annotation text"/>
    <w:basedOn w:val="Normal"/>
    <w:link w:val="CommentTextChar"/>
    <w:uiPriority w:val="99"/>
    <w:semiHidden/>
    <w:unhideWhenUsed/>
    <w:rsid w:val="00A52024"/>
    <w:pPr>
      <w:spacing w:line="240" w:lineRule="auto"/>
    </w:pPr>
    <w:rPr>
      <w:sz w:val="20"/>
      <w:szCs w:val="20"/>
    </w:rPr>
  </w:style>
  <w:style w:type="character" w:customStyle="1" w:styleId="CommentTextChar">
    <w:name w:val="Comment Text Char"/>
    <w:basedOn w:val="DefaultParagraphFont"/>
    <w:link w:val="CommentText"/>
    <w:uiPriority w:val="99"/>
    <w:semiHidden/>
    <w:rsid w:val="00A52024"/>
    <w:rPr>
      <w:rFonts w:ascii="Times New Roman" w:eastAsia="Times New Roman" w:hAnsi="Times New Roman" w:cs="Arial"/>
      <w:color w:val="000000"/>
      <w:sz w:val="20"/>
      <w:szCs w:val="20"/>
    </w:rPr>
  </w:style>
  <w:style w:type="paragraph" w:styleId="CommentSubject">
    <w:name w:val="annotation subject"/>
    <w:basedOn w:val="CommentText"/>
    <w:next w:val="CommentText"/>
    <w:link w:val="CommentSubjectChar"/>
    <w:uiPriority w:val="99"/>
    <w:semiHidden/>
    <w:unhideWhenUsed/>
    <w:rsid w:val="00A52024"/>
    <w:rPr>
      <w:b/>
      <w:bCs/>
    </w:rPr>
  </w:style>
  <w:style w:type="character" w:customStyle="1" w:styleId="CommentSubjectChar">
    <w:name w:val="Comment Subject Char"/>
    <w:basedOn w:val="CommentTextChar"/>
    <w:link w:val="CommentSubject"/>
    <w:uiPriority w:val="99"/>
    <w:semiHidden/>
    <w:rsid w:val="00A52024"/>
    <w:rPr>
      <w:rFonts w:ascii="Times New Roman" w:eastAsia="Times New Roman" w:hAnsi="Times New Roman" w:cs="Arial"/>
      <w:b/>
      <w:bCs/>
      <w:color w:val="000000"/>
      <w:sz w:val="20"/>
      <w:szCs w:val="20"/>
    </w:rPr>
  </w:style>
  <w:style w:type="paragraph" w:styleId="Header">
    <w:name w:val="header"/>
    <w:basedOn w:val="Normal"/>
    <w:link w:val="HeaderChar"/>
    <w:uiPriority w:val="99"/>
    <w:unhideWhenUsed/>
    <w:rsid w:val="00F0015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00150"/>
    <w:rPr>
      <w:rFonts w:ascii="Times New Roman" w:eastAsia="Times New Roman" w:hAnsi="Times New Roman" w:cs="Arial"/>
      <w:color w:val="000000"/>
      <w:szCs w:val="22"/>
    </w:rPr>
  </w:style>
  <w:style w:type="paragraph" w:styleId="Footer">
    <w:name w:val="footer"/>
    <w:basedOn w:val="Normal"/>
    <w:link w:val="FooterChar"/>
    <w:uiPriority w:val="99"/>
    <w:unhideWhenUsed/>
    <w:rsid w:val="00F0015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00150"/>
    <w:rPr>
      <w:rFonts w:ascii="Times New Roman" w:eastAsia="Times New Roman" w:hAnsi="Times New Roman" w:cs="Arial"/>
      <w:color w:val="000000"/>
      <w:szCs w:val="22"/>
    </w:rPr>
  </w:style>
  <w:style w:type="paragraph" w:styleId="NoSpacing">
    <w:name w:val="No Spacing"/>
    <w:uiPriority w:val="1"/>
    <w:qFormat/>
    <w:rsid w:val="00541830"/>
    <w:pPr>
      <w:spacing w:after="480"/>
      <w:jc w:val="both"/>
    </w:pPr>
    <w:rPr>
      <w:rFonts w:ascii="Times New Roman" w:eastAsia="Times New Roman" w:hAnsi="Times New Roman" w:cs="Arial"/>
      <w:color w:val="000000"/>
      <w:sz w:val="22"/>
      <w:szCs w:val="22"/>
    </w:rPr>
  </w:style>
  <w:style w:type="character" w:styleId="PageNumber">
    <w:name w:val="page number"/>
    <w:basedOn w:val="DefaultParagraphFont"/>
    <w:uiPriority w:val="99"/>
    <w:semiHidden/>
    <w:unhideWhenUsed/>
    <w:rsid w:val="00DF5E5A"/>
  </w:style>
  <w:style w:type="character" w:styleId="IntenseEmphasis">
    <w:name w:val="Intense Emphasis"/>
    <w:basedOn w:val="DefaultParagraphFont"/>
    <w:uiPriority w:val="21"/>
    <w:qFormat/>
    <w:rsid w:val="00616F36"/>
    <w:rPr>
      <w:i/>
      <w:iCs/>
      <w:color w:val="4472C4" w:themeColor="accent1"/>
    </w:rPr>
  </w:style>
  <w:style w:type="character" w:styleId="Emphasis">
    <w:name w:val="Emphasis"/>
    <w:basedOn w:val="SubtleEmphasis"/>
    <w:uiPriority w:val="20"/>
    <w:qFormat/>
    <w:rsid w:val="00616F36"/>
  </w:style>
  <w:style w:type="character" w:styleId="SubtleEmphasis">
    <w:name w:val="Subtle Emphasis"/>
    <w:uiPriority w:val="19"/>
    <w:qFormat/>
    <w:rsid w:val="00616F36"/>
  </w:style>
  <w:style w:type="character" w:styleId="Strong">
    <w:name w:val="Strong"/>
    <w:basedOn w:val="Emphasis"/>
    <w:uiPriority w:val="22"/>
    <w:qFormat/>
    <w:rsid w:val="00616F36"/>
  </w:style>
  <w:style w:type="paragraph" w:styleId="Quote">
    <w:name w:val="Quote"/>
    <w:aliases w:val="TableCaption"/>
    <w:basedOn w:val="NoSpacing"/>
    <w:next w:val="Normal"/>
    <w:link w:val="QuoteChar"/>
    <w:uiPriority w:val="29"/>
    <w:qFormat/>
    <w:rsid w:val="00616F36"/>
    <w:pPr>
      <w:spacing w:before="480" w:after="120"/>
    </w:pPr>
  </w:style>
  <w:style w:type="character" w:customStyle="1" w:styleId="QuoteChar">
    <w:name w:val="Quote Char"/>
    <w:aliases w:val="TableCaption Char"/>
    <w:basedOn w:val="DefaultParagraphFont"/>
    <w:link w:val="Quote"/>
    <w:uiPriority w:val="29"/>
    <w:rsid w:val="00616F36"/>
    <w:rPr>
      <w:rFonts w:ascii="Times New Roman" w:eastAsia="Times New Roman" w:hAnsi="Times New Roman" w:cs="Arial"/>
      <w:color w:val="000000"/>
      <w:sz w:val="22"/>
      <w:szCs w:val="22"/>
    </w:rPr>
  </w:style>
  <w:style w:type="character" w:styleId="LineNumber">
    <w:name w:val="line number"/>
    <w:basedOn w:val="DefaultParagraphFont"/>
    <w:uiPriority w:val="99"/>
    <w:semiHidden/>
    <w:unhideWhenUsed/>
    <w:rsid w:val="007E0AA4"/>
  </w:style>
  <w:style w:type="character" w:styleId="Hyperlink">
    <w:name w:val="Hyperlink"/>
    <w:basedOn w:val="DefaultParagraphFont"/>
    <w:uiPriority w:val="99"/>
    <w:unhideWhenUsed/>
    <w:rsid w:val="00030CAA"/>
    <w:rPr>
      <w:color w:val="0563C1" w:themeColor="hyperlink"/>
      <w:u w:val="single"/>
    </w:rPr>
  </w:style>
  <w:style w:type="character" w:styleId="UnresolvedMention">
    <w:name w:val="Unresolved Mention"/>
    <w:basedOn w:val="DefaultParagraphFont"/>
    <w:uiPriority w:val="99"/>
    <w:semiHidden/>
    <w:unhideWhenUsed/>
    <w:rsid w:val="00030CAA"/>
    <w:rPr>
      <w:color w:val="605E5C"/>
      <w:shd w:val="clear" w:color="auto" w:fill="E1DFDD"/>
    </w:rPr>
  </w:style>
  <w:style w:type="character" w:styleId="FollowedHyperlink">
    <w:name w:val="FollowedHyperlink"/>
    <w:basedOn w:val="DefaultParagraphFont"/>
    <w:uiPriority w:val="99"/>
    <w:semiHidden/>
    <w:unhideWhenUsed/>
    <w:rsid w:val="006B38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22547">
      <w:bodyDiv w:val="1"/>
      <w:marLeft w:val="0"/>
      <w:marRight w:val="0"/>
      <w:marTop w:val="0"/>
      <w:marBottom w:val="0"/>
      <w:divBdr>
        <w:top w:val="none" w:sz="0" w:space="0" w:color="auto"/>
        <w:left w:val="none" w:sz="0" w:space="0" w:color="auto"/>
        <w:bottom w:val="none" w:sz="0" w:space="0" w:color="auto"/>
        <w:right w:val="none" w:sz="0" w:space="0" w:color="auto"/>
      </w:divBdr>
    </w:div>
    <w:div w:id="139688890">
      <w:bodyDiv w:val="1"/>
      <w:marLeft w:val="0"/>
      <w:marRight w:val="0"/>
      <w:marTop w:val="0"/>
      <w:marBottom w:val="0"/>
      <w:divBdr>
        <w:top w:val="none" w:sz="0" w:space="0" w:color="auto"/>
        <w:left w:val="none" w:sz="0" w:space="0" w:color="auto"/>
        <w:bottom w:val="none" w:sz="0" w:space="0" w:color="auto"/>
        <w:right w:val="none" w:sz="0" w:space="0" w:color="auto"/>
      </w:divBdr>
    </w:div>
    <w:div w:id="172572024">
      <w:bodyDiv w:val="1"/>
      <w:marLeft w:val="0"/>
      <w:marRight w:val="0"/>
      <w:marTop w:val="0"/>
      <w:marBottom w:val="0"/>
      <w:divBdr>
        <w:top w:val="none" w:sz="0" w:space="0" w:color="auto"/>
        <w:left w:val="none" w:sz="0" w:space="0" w:color="auto"/>
        <w:bottom w:val="none" w:sz="0" w:space="0" w:color="auto"/>
        <w:right w:val="none" w:sz="0" w:space="0" w:color="auto"/>
      </w:divBdr>
    </w:div>
    <w:div w:id="231550141">
      <w:bodyDiv w:val="1"/>
      <w:marLeft w:val="0"/>
      <w:marRight w:val="0"/>
      <w:marTop w:val="0"/>
      <w:marBottom w:val="0"/>
      <w:divBdr>
        <w:top w:val="none" w:sz="0" w:space="0" w:color="auto"/>
        <w:left w:val="none" w:sz="0" w:space="0" w:color="auto"/>
        <w:bottom w:val="none" w:sz="0" w:space="0" w:color="auto"/>
        <w:right w:val="none" w:sz="0" w:space="0" w:color="auto"/>
      </w:divBdr>
    </w:div>
    <w:div w:id="269509980">
      <w:bodyDiv w:val="1"/>
      <w:marLeft w:val="0"/>
      <w:marRight w:val="0"/>
      <w:marTop w:val="0"/>
      <w:marBottom w:val="0"/>
      <w:divBdr>
        <w:top w:val="none" w:sz="0" w:space="0" w:color="auto"/>
        <w:left w:val="none" w:sz="0" w:space="0" w:color="auto"/>
        <w:bottom w:val="none" w:sz="0" w:space="0" w:color="auto"/>
        <w:right w:val="none" w:sz="0" w:space="0" w:color="auto"/>
      </w:divBdr>
    </w:div>
    <w:div w:id="317271335">
      <w:bodyDiv w:val="1"/>
      <w:marLeft w:val="0"/>
      <w:marRight w:val="0"/>
      <w:marTop w:val="0"/>
      <w:marBottom w:val="0"/>
      <w:divBdr>
        <w:top w:val="none" w:sz="0" w:space="0" w:color="auto"/>
        <w:left w:val="none" w:sz="0" w:space="0" w:color="auto"/>
        <w:bottom w:val="none" w:sz="0" w:space="0" w:color="auto"/>
        <w:right w:val="none" w:sz="0" w:space="0" w:color="auto"/>
      </w:divBdr>
    </w:div>
    <w:div w:id="375391467">
      <w:bodyDiv w:val="1"/>
      <w:marLeft w:val="0"/>
      <w:marRight w:val="0"/>
      <w:marTop w:val="0"/>
      <w:marBottom w:val="0"/>
      <w:divBdr>
        <w:top w:val="none" w:sz="0" w:space="0" w:color="auto"/>
        <w:left w:val="none" w:sz="0" w:space="0" w:color="auto"/>
        <w:bottom w:val="none" w:sz="0" w:space="0" w:color="auto"/>
        <w:right w:val="none" w:sz="0" w:space="0" w:color="auto"/>
      </w:divBdr>
    </w:div>
    <w:div w:id="377974254">
      <w:bodyDiv w:val="1"/>
      <w:marLeft w:val="0"/>
      <w:marRight w:val="0"/>
      <w:marTop w:val="0"/>
      <w:marBottom w:val="0"/>
      <w:divBdr>
        <w:top w:val="none" w:sz="0" w:space="0" w:color="auto"/>
        <w:left w:val="none" w:sz="0" w:space="0" w:color="auto"/>
        <w:bottom w:val="none" w:sz="0" w:space="0" w:color="auto"/>
        <w:right w:val="none" w:sz="0" w:space="0" w:color="auto"/>
      </w:divBdr>
    </w:div>
    <w:div w:id="515729377">
      <w:bodyDiv w:val="1"/>
      <w:marLeft w:val="0"/>
      <w:marRight w:val="0"/>
      <w:marTop w:val="0"/>
      <w:marBottom w:val="0"/>
      <w:divBdr>
        <w:top w:val="none" w:sz="0" w:space="0" w:color="auto"/>
        <w:left w:val="none" w:sz="0" w:space="0" w:color="auto"/>
        <w:bottom w:val="none" w:sz="0" w:space="0" w:color="auto"/>
        <w:right w:val="none" w:sz="0" w:space="0" w:color="auto"/>
      </w:divBdr>
    </w:div>
    <w:div w:id="522980054">
      <w:bodyDiv w:val="1"/>
      <w:marLeft w:val="0"/>
      <w:marRight w:val="0"/>
      <w:marTop w:val="0"/>
      <w:marBottom w:val="0"/>
      <w:divBdr>
        <w:top w:val="none" w:sz="0" w:space="0" w:color="auto"/>
        <w:left w:val="none" w:sz="0" w:space="0" w:color="auto"/>
        <w:bottom w:val="none" w:sz="0" w:space="0" w:color="auto"/>
        <w:right w:val="none" w:sz="0" w:space="0" w:color="auto"/>
      </w:divBdr>
    </w:div>
    <w:div w:id="660041682">
      <w:bodyDiv w:val="1"/>
      <w:marLeft w:val="0"/>
      <w:marRight w:val="0"/>
      <w:marTop w:val="0"/>
      <w:marBottom w:val="0"/>
      <w:divBdr>
        <w:top w:val="none" w:sz="0" w:space="0" w:color="auto"/>
        <w:left w:val="none" w:sz="0" w:space="0" w:color="auto"/>
        <w:bottom w:val="none" w:sz="0" w:space="0" w:color="auto"/>
        <w:right w:val="none" w:sz="0" w:space="0" w:color="auto"/>
      </w:divBdr>
    </w:div>
    <w:div w:id="751895929">
      <w:bodyDiv w:val="1"/>
      <w:marLeft w:val="0"/>
      <w:marRight w:val="0"/>
      <w:marTop w:val="0"/>
      <w:marBottom w:val="0"/>
      <w:divBdr>
        <w:top w:val="none" w:sz="0" w:space="0" w:color="auto"/>
        <w:left w:val="none" w:sz="0" w:space="0" w:color="auto"/>
        <w:bottom w:val="none" w:sz="0" w:space="0" w:color="auto"/>
        <w:right w:val="none" w:sz="0" w:space="0" w:color="auto"/>
      </w:divBdr>
    </w:div>
    <w:div w:id="802816301">
      <w:bodyDiv w:val="1"/>
      <w:marLeft w:val="0"/>
      <w:marRight w:val="0"/>
      <w:marTop w:val="0"/>
      <w:marBottom w:val="0"/>
      <w:divBdr>
        <w:top w:val="none" w:sz="0" w:space="0" w:color="auto"/>
        <w:left w:val="none" w:sz="0" w:space="0" w:color="auto"/>
        <w:bottom w:val="none" w:sz="0" w:space="0" w:color="auto"/>
        <w:right w:val="none" w:sz="0" w:space="0" w:color="auto"/>
      </w:divBdr>
    </w:div>
    <w:div w:id="883181626">
      <w:bodyDiv w:val="1"/>
      <w:marLeft w:val="0"/>
      <w:marRight w:val="0"/>
      <w:marTop w:val="0"/>
      <w:marBottom w:val="0"/>
      <w:divBdr>
        <w:top w:val="none" w:sz="0" w:space="0" w:color="auto"/>
        <w:left w:val="none" w:sz="0" w:space="0" w:color="auto"/>
        <w:bottom w:val="none" w:sz="0" w:space="0" w:color="auto"/>
        <w:right w:val="none" w:sz="0" w:space="0" w:color="auto"/>
      </w:divBdr>
    </w:div>
    <w:div w:id="943460582">
      <w:bodyDiv w:val="1"/>
      <w:marLeft w:val="0"/>
      <w:marRight w:val="0"/>
      <w:marTop w:val="0"/>
      <w:marBottom w:val="0"/>
      <w:divBdr>
        <w:top w:val="none" w:sz="0" w:space="0" w:color="auto"/>
        <w:left w:val="none" w:sz="0" w:space="0" w:color="auto"/>
        <w:bottom w:val="none" w:sz="0" w:space="0" w:color="auto"/>
        <w:right w:val="none" w:sz="0" w:space="0" w:color="auto"/>
      </w:divBdr>
    </w:div>
    <w:div w:id="1005354270">
      <w:bodyDiv w:val="1"/>
      <w:marLeft w:val="0"/>
      <w:marRight w:val="0"/>
      <w:marTop w:val="0"/>
      <w:marBottom w:val="0"/>
      <w:divBdr>
        <w:top w:val="none" w:sz="0" w:space="0" w:color="auto"/>
        <w:left w:val="none" w:sz="0" w:space="0" w:color="auto"/>
        <w:bottom w:val="none" w:sz="0" w:space="0" w:color="auto"/>
        <w:right w:val="none" w:sz="0" w:space="0" w:color="auto"/>
      </w:divBdr>
    </w:div>
    <w:div w:id="1007639571">
      <w:bodyDiv w:val="1"/>
      <w:marLeft w:val="0"/>
      <w:marRight w:val="0"/>
      <w:marTop w:val="0"/>
      <w:marBottom w:val="0"/>
      <w:divBdr>
        <w:top w:val="none" w:sz="0" w:space="0" w:color="auto"/>
        <w:left w:val="none" w:sz="0" w:space="0" w:color="auto"/>
        <w:bottom w:val="none" w:sz="0" w:space="0" w:color="auto"/>
        <w:right w:val="none" w:sz="0" w:space="0" w:color="auto"/>
      </w:divBdr>
    </w:div>
    <w:div w:id="1024600815">
      <w:bodyDiv w:val="1"/>
      <w:marLeft w:val="0"/>
      <w:marRight w:val="0"/>
      <w:marTop w:val="0"/>
      <w:marBottom w:val="0"/>
      <w:divBdr>
        <w:top w:val="none" w:sz="0" w:space="0" w:color="auto"/>
        <w:left w:val="none" w:sz="0" w:space="0" w:color="auto"/>
        <w:bottom w:val="none" w:sz="0" w:space="0" w:color="auto"/>
        <w:right w:val="none" w:sz="0" w:space="0" w:color="auto"/>
      </w:divBdr>
    </w:div>
    <w:div w:id="1102185643">
      <w:bodyDiv w:val="1"/>
      <w:marLeft w:val="0"/>
      <w:marRight w:val="0"/>
      <w:marTop w:val="0"/>
      <w:marBottom w:val="0"/>
      <w:divBdr>
        <w:top w:val="none" w:sz="0" w:space="0" w:color="auto"/>
        <w:left w:val="none" w:sz="0" w:space="0" w:color="auto"/>
        <w:bottom w:val="none" w:sz="0" w:space="0" w:color="auto"/>
        <w:right w:val="none" w:sz="0" w:space="0" w:color="auto"/>
      </w:divBdr>
    </w:div>
    <w:div w:id="1230000501">
      <w:bodyDiv w:val="1"/>
      <w:marLeft w:val="0"/>
      <w:marRight w:val="0"/>
      <w:marTop w:val="0"/>
      <w:marBottom w:val="0"/>
      <w:divBdr>
        <w:top w:val="none" w:sz="0" w:space="0" w:color="auto"/>
        <w:left w:val="none" w:sz="0" w:space="0" w:color="auto"/>
        <w:bottom w:val="none" w:sz="0" w:space="0" w:color="auto"/>
        <w:right w:val="none" w:sz="0" w:space="0" w:color="auto"/>
      </w:divBdr>
    </w:div>
    <w:div w:id="1231381555">
      <w:bodyDiv w:val="1"/>
      <w:marLeft w:val="0"/>
      <w:marRight w:val="0"/>
      <w:marTop w:val="0"/>
      <w:marBottom w:val="0"/>
      <w:divBdr>
        <w:top w:val="none" w:sz="0" w:space="0" w:color="auto"/>
        <w:left w:val="none" w:sz="0" w:space="0" w:color="auto"/>
        <w:bottom w:val="none" w:sz="0" w:space="0" w:color="auto"/>
        <w:right w:val="none" w:sz="0" w:space="0" w:color="auto"/>
      </w:divBdr>
    </w:div>
    <w:div w:id="1372069892">
      <w:bodyDiv w:val="1"/>
      <w:marLeft w:val="0"/>
      <w:marRight w:val="0"/>
      <w:marTop w:val="0"/>
      <w:marBottom w:val="0"/>
      <w:divBdr>
        <w:top w:val="none" w:sz="0" w:space="0" w:color="auto"/>
        <w:left w:val="none" w:sz="0" w:space="0" w:color="auto"/>
        <w:bottom w:val="none" w:sz="0" w:space="0" w:color="auto"/>
        <w:right w:val="none" w:sz="0" w:space="0" w:color="auto"/>
      </w:divBdr>
    </w:div>
    <w:div w:id="1400444910">
      <w:bodyDiv w:val="1"/>
      <w:marLeft w:val="0"/>
      <w:marRight w:val="0"/>
      <w:marTop w:val="0"/>
      <w:marBottom w:val="0"/>
      <w:divBdr>
        <w:top w:val="none" w:sz="0" w:space="0" w:color="auto"/>
        <w:left w:val="none" w:sz="0" w:space="0" w:color="auto"/>
        <w:bottom w:val="none" w:sz="0" w:space="0" w:color="auto"/>
        <w:right w:val="none" w:sz="0" w:space="0" w:color="auto"/>
      </w:divBdr>
    </w:div>
    <w:div w:id="1425879036">
      <w:bodyDiv w:val="1"/>
      <w:marLeft w:val="0"/>
      <w:marRight w:val="0"/>
      <w:marTop w:val="0"/>
      <w:marBottom w:val="0"/>
      <w:divBdr>
        <w:top w:val="none" w:sz="0" w:space="0" w:color="auto"/>
        <w:left w:val="none" w:sz="0" w:space="0" w:color="auto"/>
        <w:bottom w:val="none" w:sz="0" w:space="0" w:color="auto"/>
        <w:right w:val="none" w:sz="0" w:space="0" w:color="auto"/>
      </w:divBdr>
    </w:div>
    <w:div w:id="1427187131">
      <w:bodyDiv w:val="1"/>
      <w:marLeft w:val="0"/>
      <w:marRight w:val="0"/>
      <w:marTop w:val="0"/>
      <w:marBottom w:val="0"/>
      <w:divBdr>
        <w:top w:val="none" w:sz="0" w:space="0" w:color="auto"/>
        <w:left w:val="none" w:sz="0" w:space="0" w:color="auto"/>
        <w:bottom w:val="none" w:sz="0" w:space="0" w:color="auto"/>
        <w:right w:val="none" w:sz="0" w:space="0" w:color="auto"/>
      </w:divBdr>
    </w:div>
    <w:div w:id="1488595029">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603416232">
      <w:bodyDiv w:val="1"/>
      <w:marLeft w:val="0"/>
      <w:marRight w:val="0"/>
      <w:marTop w:val="0"/>
      <w:marBottom w:val="0"/>
      <w:divBdr>
        <w:top w:val="none" w:sz="0" w:space="0" w:color="auto"/>
        <w:left w:val="none" w:sz="0" w:space="0" w:color="auto"/>
        <w:bottom w:val="none" w:sz="0" w:space="0" w:color="auto"/>
        <w:right w:val="none" w:sz="0" w:space="0" w:color="auto"/>
      </w:divBdr>
    </w:div>
    <w:div w:id="1613172230">
      <w:bodyDiv w:val="1"/>
      <w:marLeft w:val="0"/>
      <w:marRight w:val="0"/>
      <w:marTop w:val="0"/>
      <w:marBottom w:val="0"/>
      <w:divBdr>
        <w:top w:val="none" w:sz="0" w:space="0" w:color="auto"/>
        <w:left w:val="none" w:sz="0" w:space="0" w:color="auto"/>
        <w:bottom w:val="none" w:sz="0" w:space="0" w:color="auto"/>
        <w:right w:val="none" w:sz="0" w:space="0" w:color="auto"/>
      </w:divBdr>
    </w:div>
    <w:div w:id="1633093403">
      <w:bodyDiv w:val="1"/>
      <w:marLeft w:val="0"/>
      <w:marRight w:val="0"/>
      <w:marTop w:val="0"/>
      <w:marBottom w:val="0"/>
      <w:divBdr>
        <w:top w:val="none" w:sz="0" w:space="0" w:color="auto"/>
        <w:left w:val="none" w:sz="0" w:space="0" w:color="auto"/>
        <w:bottom w:val="none" w:sz="0" w:space="0" w:color="auto"/>
        <w:right w:val="none" w:sz="0" w:space="0" w:color="auto"/>
      </w:divBdr>
    </w:div>
    <w:div w:id="1653219636">
      <w:bodyDiv w:val="1"/>
      <w:marLeft w:val="0"/>
      <w:marRight w:val="0"/>
      <w:marTop w:val="0"/>
      <w:marBottom w:val="0"/>
      <w:divBdr>
        <w:top w:val="none" w:sz="0" w:space="0" w:color="auto"/>
        <w:left w:val="none" w:sz="0" w:space="0" w:color="auto"/>
        <w:bottom w:val="none" w:sz="0" w:space="0" w:color="auto"/>
        <w:right w:val="none" w:sz="0" w:space="0" w:color="auto"/>
      </w:divBdr>
    </w:div>
    <w:div w:id="1678265351">
      <w:bodyDiv w:val="1"/>
      <w:marLeft w:val="0"/>
      <w:marRight w:val="0"/>
      <w:marTop w:val="0"/>
      <w:marBottom w:val="0"/>
      <w:divBdr>
        <w:top w:val="none" w:sz="0" w:space="0" w:color="auto"/>
        <w:left w:val="none" w:sz="0" w:space="0" w:color="auto"/>
        <w:bottom w:val="none" w:sz="0" w:space="0" w:color="auto"/>
        <w:right w:val="none" w:sz="0" w:space="0" w:color="auto"/>
      </w:divBdr>
    </w:div>
    <w:div w:id="1687250327">
      <w:bodyDiv w:val="1"/>
      <w:marLeft w:val="0"/>
      <w:marRight w:val="0"/>
      <w:marTop w:val="0"/>
      <w:marBottom w:val="0"/>
      <w:divBdr>
        <w:top w:val="none" w:sz="0" w:space="0" w:color="auto"/>
        <w:left w:val="none" w:sz="0" w:space="0" w:color="auto"/>
        <w:bottom w:val="none" w:sz="0" w:space="0" w:color="auto"/>
        <w:right w:val="none" w:sz="0" w:space="0" w:color="auto"/>
      </w:divBdr>
    </w:div>
    <w:div w:id="1795370281">
      <w:bodyDiv w:val="1"/>
      <w:marLeft w:val="0"/>
      <w:marRight w:val="0"/>
      <w:marTop w:val="0"/>
      <w:marBottom w:val="0"/>
      <w:divBdr>
        <w:top w:val="none" w:sz="0" w:space="0" w:color="auto"/>
        <w:left w:val="none" w:sz="0" w:space="0" w:color="auto"/>
        <w:bottom w:val="none" w:sz="0" w:space="0" w:color="auto"/>
        <w:right w:val="none" w:sz="0" w:space="0" w:color="auto"/>
      </w:divBdr>
      <w:divsChild>
        <w:div w:id="714817053">
          <w:marLeft w:val="0"/>
          <w:marRight w:val="0"/>
          <w:marTop w:val="0"/>
          <w:marBottom w:val="0"/>
          <w:divBdr>
            <w:top w:val="none" w:sz="0" w:space="0" w:color="auto"/>
            <w:left w:val="none" w:sz="0" w:space="0" w:color="auto"/>
            <w:bottom w:val="none" w:sz="0" w:space="0" w:color="auto"/>
            <w:right w:val="none" w:sz="0" w:space="0" w:color="auto"/>
          </w:divBdr>
          <w:divsChild>
            <w:div w:id="1397556168">
              <w:marLeft w:val="0"/>
              <w:marRight w:val="0"/>
              <w:marTop w:val="0"/>
              <w:marBottom w:val="0"/>
              <w:divBdr>
                <w:top w:val="none" w:sz="0" w:space="0" w:color="auto"/>
                <w:left w:val="none" w:sz="0" w:space="0" w:color="auto"/>
                <w:bottom w:val="none" w:sz="0" w:space="0" w:color="auto"/>
                <w:right w:val="none" w:sz="0" w:space="0" w:color="auto"/>
              </w:divBdr>
              <w:divsChild>
                <w:div w:id="9224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291361">
      <w:bodyDiv w:val="1"/>
      <w:marLeft w:val="0"/>
      <w:marRight w:val="0"/>
      <w:marTop w:val="0"/>
      <w:marBottom w:val="0"/>
      <w:divBdr>
        <w:top w:val="none" w:sz="0" w:space="0" w:color="auto"/>
        <w:left w:val="none" w:sz="0" w:space="0" w:color="auto"/>
        <w:bottom w:val="none" w:sz="0" w:space="0" w:color="auto"/>
        <w:right w:val="none" w:sz="0" w:space="0" w:color="auto"/>
      </w:divBdr>
    </w:div>
    <w:div w:id="1883638307">
      <w:bodyDiv w:val="1"/>
      <w:marLeft w:val="0"/>
      <w:marRight w:val="0"/>
      <w:marTop w:val="0"/>
      <w:marBottom w:val="0"/>
      <w:divBdr>
        <w:top w:val="none" w:sz="0" w:space="0" w:color="auto"/>
        <w:left w:val="none" w:sz="0" w:space="0" w:color="auto"/>
        <w:bottom w:val="none" w:sz="0" w:space="0" w:color="auto"/>
        <w:right w:val="none" w:sz="0" w:space="0" w:color="auto"/>
      </w:divBdr>
    </w:div>
    <w:div w:id="1890800624">
      <w:bodyDiv w:val="1"/>
      <w:marLeft w:val="0"/>
      <w:marRight w:val="0"/>
      <w:marTop w:val="0"/>
      <w:marBottom w:val="0"/>
      <w:divBdr>
        <w:top w:val="none" w:sz="0" w:space="0" w:color="auto"/>
        <w:left w:val="none" w:sz="0" w:space="0" w:color="auto"/>
        <w:bottom w:val="none" w:sz="0" w:space="0" w:color="auto"/>
        <w:right w:val="none" w:sz="0" w:space="0" w:color="auto"/>
      </w:divBdr>
    </w:div>
    <w:div w:id="1939024273">
      <w:bodyDiv w:val="1"/>
      <w:marLeft w:val="0"/>
      <w:marRight w:val="0"/>
      <w:marTop w:val="0"/>
      <w:marBottom w:val="0"/>
      <w:divBdr>
        <w:top w:val="none" w:sz="0" w:space="0" w:color="auto"/>
        <w:left w:val="none" w:sz="0" w:space="0" w:color="auto"/>
        <w:bottom w:val="none" w:sz="0" w:space="0" w:color="auto"/>
        <w:right w:val="none" w:sz="0" w:space="0" w:color="auto"/>
      </w:divBdr>
    </w:div>
    <w:div w:id="2025013505">
      <w:bodyDiv w:val="1"/>
      <w:marLeft w:val="0"/>
      <w:marRight w:val="0"/>
      <w:marTop w:val="0"/>
      <w:marBottom w:val="0"/>
      <w:divBdr>
        <w:top w:val="none" w:sz="0" w:space="0" w:color="auto"/>
        <w:left w:val="none" w:sz="0" w:space="0" w:color="auto"/>
        <w:bottom w:val="none" w:sz="0" w:space="0" w:color="auto"/>
        <w:right w:val="none" w:sz="0" w:space="0" w:color="auto"/>
      </w:divBdr>
      <w:divsChild>
        <w:div w:id="935401069">
          <w:marLeft w:val="0"/>
          <w:marRight w:val="0"/>
          <w:marTop w:val="0"/>
          <w:marBottom w:val="0"/>
          <w:divBdr>
            <w:top w:val="none" w:sz="0" w:space="0" w:color="auto"/>
            <w:left w:val="none" w:sz="0" w:space="0" w:color="auto"/>
            <w:bottom w:val="none" w:sz="0" w:space="0" w:color="auto"/>
            <w:right w:val="none" w:sz="0" w:space="0" w:color="auto"/>
          </w:divBdr>
        </w:div>
        <w:div w:id="483131475">
          <w:marLeft w:val="0"/>
          <w:marRight w:val="0"/>
          <w:marTop w:val="0"/>
          <w:marBottom w:val="0"/>
          <w:divBdr>
            <w:top w:val="none" w:sz="0" w:space="0" w:color="auto"/>
            <w:left w:val="none" w:sz="0" w:space="0" w:color="auto"/>
            <w:bottom w:val="none" w:sz="0" w:space="0" w:color="auto"/>
            <w:right w:val="none" w:sz="0" w:space="0" w:color="auto"/>
          </w:divBdr>
        </w:div>
      </w:divsChild>
    </w:div>
    <w:div w:id="2101176540">
      <w:bodyDiv w:val="1"/>
      <w:marLeft w:val="0"/>
      <w:marRight w:val="0"/>
      <w:marTop w:val="0"/>
      <w:marBottom w:val="0"/>
      <w:divBdr>
        <w:top w:val="none" w:sz="0" w:space="0" w:color="auto"/>
        <w:left w:val="none" w:sz="0" w:space="0" w:color="auto"/>
        <w:bottom w:val="none" w:sz="0" w:space="0" w:color="auto"/>
        <w:right w:val="none" w:sz="0" w:space="0" w:color="auto"/>
      </w:divBdr>
    </w:div>
    <w:div w:id="212083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footer" Target="footer4.xml"/><Relationship Id="rId26" Type="http://schemas.openxmlformats.org/officeDocument/2006/relationships/image" Target="media/image11.emf"/><Relationship Id="rId39" Type="http://schemas.openxmlformats.org/officeDocument/2006/relationships/hyperlink" Target="https://doi.org/10.1142/S2345737614500018" TargetMode="External"/><Relationship Id="rId21" Type="http://schemas.openxmlformats.org/officeDocument/2006/relationships/image" Target="media/image6.emf"/><Relationship Id="rId34" Type="http://schemas.openxmlformats.org/officeDocument/2006/relationships/hyperlink" Target="https://doi.org/10.1111/risa.12888"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4.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hyperlink" Target="https://doi.org/10.1175/JCLI-D-18-0075.1" TargetMode="External"/><Relationship Id="rId37" Type="http://schemas.openxmlformats.org/officeDocument/2006/relationships/hyperlink" Target="https://doi.org/10.1111/rmir.12116" TargetMode="External"/><Relationship Id="rId40" Type="http://schemas.openxmlformats.org/officeDocument/2006/relationships/hyperlink" Target="https://doi.org/10.1061/(ASCE)0733-9496(1989)115:1(94)" TargetMode="External"/><Relationship Id="rId5" Type="http://schemas.openxmlformats.org/officeDocument/2006/relationships/webSettings" Target="webSettings.xml"/><Relationship Id="rId15" Type="http://schemas.openxmlformats.org/officeDocument/2006/relationships/hyperlink" Target="https://ec.europa.eu/jrc/en/publication/global-flood-depth-damage-functions-methodology-and-database-guidelines" TargetMode="Externa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hyperlink" Target="https://doi.org/10.1257/jep.24.4.165" TargetMode="External"/><Relationship Id="rId10" Type="http://schemas.microsoft.com/office/2016/09/relationships/commentsIds" Target="commentsIds.xml"/><Relationship Id="rId19" Type="http://schemas.openxmlformats.org/officeDocument/2006/relationships/image" Target="media/image4.emf"/><Relationship Id="rId31" Type="http://schemas.openxmlformats.org/officeDocument/2006/relationships/hyperlink" Target="https://doi.org/10.1016/j.envsoft.2019.06.01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hyperlink" Target="https://doi.org/10.1016/j.jhydrol.2017.02.057" TargetMode="Externa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0.emf"/><Relationship Id="rId33" Type="http://schemas.openxmlformats.org/officeDocument/2006/relationships/hyperlink" Target="https://doi.org/10.1016/j.envsoft.2012.12.007" TargetMode="External"/><Relationship Id="rId38" Type="http://schemas.openxmlformats.org/officeDocument/2006/relationships/hyperlink" Target="https://doi.org/10.1002/soej.123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DCB88-74EC-0343-AF2D-7283E15CC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30</Pages>
  <Words>6217</Words>
  <Characters>35438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Zarekarizi, Mahkameh</dc:creator>
  <cp:keywords/>
  <dc:description/>
  <cp:lastModifiedBy>Zarekarizi, Mahkameh</cp:lastModifiedBy>
  <cp:revision>310</cp:revision>
  <dcterms:created xsi:type="dcterms:W3CDTF">2019-04-22T13:34:00Z</dcterms:created>
  <dcterms:modified xsi:type="dcterms:W3CDTF">2019-08-01T20:31:00Z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http://www.zotero.org/styles/journal-of-hydrology</vt:lpwstr>
  </property>
  <property fmtid="{D5CDD505-2E9C-101B-9397-08002B2CF9AE}" pid="15" name="Mendeley Recent Style Name 6_1">
    <vt:lpwstr>Journal of Hydrology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4a4cb309-698f-38d3-8fce-eefe10e363be</vt:lpwstr>
  </property>
</Properties>
</file>