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AustinGolf</w:t>
      </w:r>
    </w:p>
    <w:p>
      <w:pPr>
        <w:jc w:val="center"/>
      </w:pPr>
      <w:r>
        <w:rPr>
          <w:b/>
          <w:sz w:val="46"/>
        </w:rPr>
        <w:t>LIONS MUNICIPAL COURSE GUIDE</w:t>
        <w:br/>
        <w:t>EVIDENCE PACKAGE</w:t>
      </w:r>
    </w:p>
    <w:p>
      <w:pPr>
        <w:jc w:val="center"/>
      </w:pPr>
      <w:r>
        <w:rPr>
          <w:b/>
          <w:sz w:val="28"/>
        </w:rPr>
        <w:t>Version 1.0 — LOCKED</w:t>
      </w:r>
    </w:p>
    <w:p>
      <w:pPr>
        <w:jc w:val="center"/>
      </w:pPr>
      <w:r>
        <w:rPr>
          <w:sz w:val="20"/>
        </w:rPr>
        <w:t>Historical master-folder artifact</w:t>
        <w:br/>
        <w:t>25 August 2026</w:t>
      </w:r>
    </w:p>
    <w:p/>
    <w:p>
      <w:pPr>
        <w:jc w:val="center"/>
      </w:pPr>
      <w:r>
        <w:rPr>
          <w:i/>
          <w:sz w:val="20"/>
        </w:rPr>
        <w:t>Purpose: authoritative evidence boundary for the first AustinGolf researched Course Guide. This package tells implementation systems what may be said, what must be qualified, and what remains outside the Guide.</w:t>
      </w:r>
    </w:p>
    <w:p>
      <w:r>
        <w:br w:type="page"/>
      </w:r>
    </w:p>
    <w:p>
      <w:pPr>
        <w:pStyle w:val="Heading1"/>
      </w:pPr>
      <w:r>
        <w:t>1. Document Status and Use</w:t>
      </w:r>
    </w:p>
    <w:p>
      <w:r>
        <w:rPr>
          <w:b w:val="0"/>
          <w:i w:val="0"/>
        </w:rPr>
        <w:t>Status: LOCKED v1.0</w:t>
      </w:r>
    </w:p>
    <w:p>
      <w:r>
        <w:rPr>
          <w:b w:val="0"/>
          <w:i w:val="0"/>
        </w:rPr>
        <w:t>Reference course: Lions Municipal Golf Course (“Muny”), Austin, Texas</w:t>
      </w:r>
    </w:p>
    <w:p>
      <w:r>
        <w:rPr>
          <w:b w:val="0"/>
          <w:i w:val="0"/>
        </w:rPr>
        <w:t>Research status: Sufficient research saturation reached for the Course Guide reference implementation.</w:t>
      </w:r>
    </w:p>
    <w:p>
      <w:r>
        <w:rPr>
          <w:b w:val="0"/>
          <w:i w:val="0"/>
        </w:rPr>
        <w:t>Relationship to product specification: use together with AustinGolf Course Guide Build Brief v1.0. The Build Brief governs the product; this package governs Lions-specific editorial evidence.</w:t>
      </w:r>
    </w:p>
    <w:p>
      <w:r>
        <w:rPr>
          <w:b w:val="0"/>
          <w:i w:val="0"/>
        </w:rPr>
        <w:t>This is not a finished published Guide and not a firsthand AustinGolf Review. It is the approved evidence package from which Guide copy may be drafted.</w:t>
      </w:r>
    </w:p>
    <w:p>
      <w:r>
        <w:rPr>
          <w:b w:val="0"/>
          <w:i w:val="0"/>
        </w:rPr>
        <w:t>Implementation rule: do not silently expand beyond this evidence package. If a material claim is not supported here or by the current structured AustinGolf course record, treat it as unresolved until separately verified.</w:t>
      </w:r>
    </w:p>
    <w:p>
      <w:pPr>
        <w:pStyle w:val="Heading1"/>
      </w:pPr>
      <w:r>
        <w:t>2. Locked Editorial Thesis</w:t>
      </w:r>
    </w:p>
    <w:p>
      <w:pPr>
        <w:ind w:left="432" w:right="288"/>
      </w:pPr>
      <w:r>
        <w:rPr>
          <w:b/>
          <w:i/>
        </w:rPr>
        <w:t>Lions Municipal matters because a century of Austin's public golf, civic history and civil-rights history has unfolded on the same piece of land—and the course has remained a living municipal golf course rather than becoming merely a historic site.</w:t>
      </w:r>
    </w:p>
    <w:p>
      <w:r>
        <w:rPr>
          <w:b w:val="0"/>
          <w:i w:val="0"/>
        </w:rPr>
        <w:t>This is the controlling AustinGolf interpretation for the Guide. A shorter reader-facing dek may express the same idea, but it should not replace the thesis with generic historic-course language.</w:t>
      </w:r>
    </w:p>
    <w:p>
      <w:pPr>
        <w:pStyle w:val="Heading1"/>
      </w:pPr>
      <w:r>
        <w:t>3. AustinGolf Baseline</w:t>
      </w:r>
    </w:p>
    <w:p>
      <w:r>
        <w:rPr>
          <w:b w:val="0"/>
          <w:i w:val="0"/>
        </w:rPr>
        <w:t>The structured AustinGolf master record remains canonical for current structured course facts. At the time of this evidence package, the approved baseline identifies Lions as an active 18-hole regulation municipal course in Central / West-Central Austin, Open Public, par 71, opened in 1924, with a current maximum published yardage of 5,825 yards.</w:t>
      </w:r>
    </w:p>
    <w:p>
      <w:r>
        <w:rPr>
          <w:b w:val="0"/>
          <w:i w:val="0"/>
        </w:rPr>
        <w:t>The master architect field is intentionally not used to make a simplistic single-architect attribution. Historical evidence supports a more nuanced design lineage described below.</w:t>
      </w:r>
    </w:p>
    <w:p>
      <w:r>
        <w:rPr>
          <w:b w:val="0"/>
          <w:i w:val="0"/>
        </w:rPr>
        <w:t>Existing AustinGolf decision-support interpretation: “Historic municipal golf with unusually deep Austin civic identity.”</w:t>
      </w:r>
    </w:p>
    <w:p>
      <w:r>
        <w:rPr>
          <w:b w:val="0"/>
          <w:i w:val="0"/>
        </w:rPr>
        <w:t>Near Downtown remains derived geography, not an editorial classification.</w:t>
      </w:r>
    </w:p>
    <w:p>
      <w:pPr>
        <w:pStyle w:val="Heading1"/>
      </w:pPr>
      <w:r>
        <w:t>4. Evidence Ledger</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top"/>
          </w:tcPr>
          <w:p>
            <w:pPr>
              <w:spacing w:after="0"/>
            </w:pPr>
            <w:r>
              <w:rPr>
                <w:sz w:val="15"/>
              </w:rPr>
              <w:t>Type</w:t>
            </w:r>
          </w:p>
        </w:tc>
        <w:tc>
          <w:tcPr>
            <w:tcW w:type="dxa" w:w="1680"/>
            <w:vAlign w:val="top"/>
          </w:tcPr>
          <w:p>
            <w:pPr>
              <w:spacing w:after="0"/>
            </w:pPr>
            <w:r>
              <w:rPr>
                <w:sz w:val="15"/>
              </w:rPr>
              <w:t>Claim / rule</w:t>
            </w:r>
          </w:p>
        </w:tc>
        <w:tc>
          <w:tcPr>
            <w:tcW w:type="dxa" w:w="1680"/>
            <w:vAlign w:val="top"/>
          </w:tcPr>
          <w:p>
            <w:pPr>
              <w:spacing w:after="0"/>
            </w:pPr>
            <w:r>
              <w:rPr>
                <w:sz w:val="15"/>
              </w:rPr>
              <w:t>Confidence</w:t>
            </w:r>
          </w:p>
        </w:tc>
        <w:tc>
          <w:tcPr>
            <w:tcW w:type="dxa" w:w="1680"/>
            <w:vAlign w:val="top"/>
          </w:tcPr>
          <w:p>
            <w:pPr>
              <w:spacing w:after="0"/>
            </w:pPr>
            <w:r>
              <w:rPr>
                <w:sz w:val="15"/>
              </w:rPr>
              <w:t>Status</w:t>
            </w:r>
          </w:p>
        </w:tc>
        <w:tc>
          <w:tcPr>
            <w:tcW w:type="dxa" w:w="1680"/>
            <w:vAlign w:val="top"/>
          </w:tcPr>
          <w:p>
            <w:pPr>
              <w:spacing w:after="0"/>
            </w:pPr>
            <w:r>
              <w:rPr>
                <w:sz w:val="15"/>
              </w:rPr>
              <w:t>Primary basis</w:t>
            </w:r>
          </w:p>
        </w:tc>
        <w:tc>
          <w:tcPr>
            <w:tcW w:type="dxa" w:w="1680"/>
            <w:vAlign w:val="top"/>
          </w:tcPr>
          <w:p>
            <w:pPr>
              <w:spacing w:after="0"/>
            </w:pPr>
            <w:r>
              <w:rPr>
                <w:sz w:val="15"/>
              </w:rPr>
              <w:t>Notes</w:t>
            </w:r>
          </w:p>
        </w:tc>
      </w:tr>
      <w:tr>
        <w:tc>
          <w:tcPr>
            <w:tcW w:type="dxa" w:w="1680"/>
            <w:vAlign w:val="top"/>
          </w:tcPr>
          <w:p>
            <w:pPr>
              <w:spacing w:after="0"/>
            </w:pPr>
            <w:r>
              <w:rPr>
                <w:sz w:val="15"/>
              </w:rPr>
              <w:t>F</w:t>
            </w:r>
          </w:p>
        </w:tc>
        <w:tc>
          <w:tcPr>
            <w:tcW w:type="dxa" w:w="1680"/>
            <w:vAlign w:val="top"/>
          </w:tcPr>
          <w:p>
            <w:pPr>
              <w:spacing w:after="0"/>
            </w:pPr>
            <w:r>
              <w:rPr>
                <w:sz w:val="15"/>
              </w:rPr>
              <w:t>Lions opened in 1924 as Austin’s first public/municipal golf course.</w:t>
            </w:r>
          </w:p>
        </w:tc>
        <w:tc>
          <w:tcPr>
            <w:tcW w:type="dxa" w:w="1680"/>
            <w:vAlign w:val="top"/>
          </w:tcPr>
          <w:p>
            <w:pPr>
              <w:spacing w:after="0"/>
            </w:pPr>
            <w:r>
              <w:rPr>
                <w:sz w:val="15"/>
              </w:rPr>
              <w:t>HIGH</w:t>
            </w:r>
          </w:p>
        </w:tc>
        <w:tc>
          <w:tcPr>
            <w:tcW w:type="dxa" w:w="1680"/>
            <w:vAlign w:val="top"/>
          </w:tcPr>
          <w:p>
            <w:pPr>
              <w:spacing w:after="0"/>
            </w:pPr>
            <w:r>
              <w:rPr>
                <w:sz w:val="15"/>
              </w:rPr>
              <w:t>PUBLISH</w:t>
            </w:r>
          </w:p>
        </w:tc>
        <w:tc>
          <w:tcPr>
            <w:tcW w:type="dxa" w:w="1680"/>
            <w:vAlign w:val="top"/>
          </w:tcPr>
          <w:p>
            <w:pPr>
              <w:spacing w:after="0"/>
            </w:pPr>
            <w:r>
              <w:rPr>
                <w:sz w:val="15"/>
              </w:rPr>
              <w:t>City of Austin; National Register</w:t>
            </w:r>
          </w:p>
        </w:tc>
        <w:tc>
          <w:tcPr>
            <w:tcW w:type="dxa" w:w="1680"/>
            <w:vAlign w:val="top"/>
          </w:tcPr>
          <w:p>
            <w:pPr>
              <w:spacing w:after="0"/>
            </w:pPr>
            <w:r>
              <w:rPr>
                <w:sz w:val="15"/>
              </w:rPr>
            </w:r>
          </w:p>
        </w:tc>
      </w:tr>
      <w:tr>
        <w:tc>
          <w:tcPr>
            <w:tcW w:type="dxa" w:w="1680"/>
            <w:vAlign w:val="top"/>
          </w:tcPr>
          <w:p>
            <w:pPr>
              <w:spacing w:after="0"/>
            </w:pPr>
            <w:r>
              <w:rPr>
                <w:sz w:val="15"/>
              </w:rPr>
              <w:t>F</w:t>
            </w:r>
          </w:p>
        </w:tc>
        <w:tc>
          <w:tcPr>
            <w:tcW w:type="dxa" w:w="1680"/>
            <w:vAlign w:val="top"/>
          </w:tcPr>
          <w:p>
            <w:pPr>
              <w:spacing w:after="0"/>
            </w:pPr>
            <w:r>
              <w:rPr>
                <w:sz w:val="15"/>
              </w:rPr>
              <w:t>The Lions Club leased part of the University of Texas-owned Brackenridge Tract for the course.</w:t>
            </w:r>
          </w:p>
        </w:tc>
        <w:tc>
          <w:tcPr>
            <w:tcW w:type="dxa" w:w="1680"/>
            <w:vAlign w:val="top"/>
          </w:tcPr>
          <w:p>
            <w:pPr>
              <w:spacing w:after="0"/>
            </w:pPr>
            <w:r>
              <w:rPr>
                <w:sz w:val="15"/>
              </w:rPr>
              <w:t>HIGH</w:t>
            </w:r>
          </w:p>
        </w:tc>
        <w:tc>
          <w:tcPr>
            <w:tcW w:type="dxa" w:w="1680"/>
            <w:vAlign w:val="top"/>
          </w:tcPr>
          <w:p>
            <w:pPr>
              <w:spacing w:after="0"/>
            </w:pPr>
            <w:r>
              <w:rPr>
                <w:sz w:val="15"/>
              </w:rPr>
              <w:t>PUBLISH</w:t>
            </w:r>
          </w:p>
        </w:tc>
        <w:tc>
          <w:tcPr>
            <w:tcW w:type="dxa" w:w="1680"/>
            <w:vAlign w:val="top"/>
          </w:tcPr>
          <w:p>
            <w:pPr>
              <w:spacing w:after="0"/>
            </w:pPr>
            <w:r>
              <w:rPr>
                <w:sz w:val="15"/>
              </w:rPr>
              <w:t>City of Austin; National Register</w:t>
            </w:r>
          </w:p>
        </w:tc>
        <w:tc>
          <w:tcPr>
            <w:tcW w:type="dxa" w:w="1680"/>
            <w:vAlign w:val="top"/>
          </w:tcPr>
          <w:p>
            <w:pPr>
              <w:spacing w:after="0"/>
            </w:pPr>
            <w:r>
              <w:rPr>
                <w:sz w:val="15"/>
              </w:rPr>
            </w:r>
          </w:p>
        </w:tc>
      </w:tr>
      <w:tr>
        <w:tc>
          <w:tcPr>
            <w:tcW w:type="dxa" w:w="1680"/>
            <w:vAlign w:val="top"/>
          </w:tcPr>
          <w:p>
            <w:pPr>
              <w:spacing w:after="0"/>
            </w:pPr>
            <w:r>
              <w:rPr>
                <w:sz w:val="15"/>
              </w:rPr>
              <w:t>F</w:t>
            </w:r>
          </w:p>
        </w:tc>
        <w:tc>
          <w:tcPr>
            <w:tcW w:type="dxa" w:w="1680"/>
            <w:vAlign w:val="top"/>
          </w:tcPr>
          <w:p>
            <w:pPr>
              <w:spacing w:after="0"/>
            </w:pPr>
            <w:r>
              <w:rPr>
                <w:sz w:val="15"/>
              </w:rPr>
              <w:t>The course began as nine holes and expanded to 18.</w:t>
            </w:r>
          </w:p>
        </w:tc>
        <w:tc>
          <w:tcPr>
            <w:tcW w:type="dxa" w:w="1680"/>
            <w:vAlign w:val="top"/>
          </w:tcPr>
          <w:p>
            <w:pPr>
              <w:spacing w:after="0"/>
            </w:pPr>
            <w:r>
              <w:rPr>
                <w:sz w:val="15"/>
              </w:rPr>
              <w:t>HIGH</w:t>
            </w:r>
          </w:p>
        </w:tc>
        <w:tc>
          <w:tcPr>
            <w:tcW w:type="dxa" w:w="1680"/>
            <w:vAlign w:val="top"/>
          </w:tcPr>
          <w:p>
            <w:pPr>
              <w:spacing w:after="0"/>
            </w:pPr>
            <w:r>
              <w:rPr>
                <w:sz w:val="15"/>
              </w:rPr>
              <w:t>PUBLISH</w:t>
            </w:r>
          </w:p>
        </w:tc>
        <w:tc>
          <w:tcPr>
            <w:tcW w:type="dxa" w:w="1680"/>
            <w:vAlign w:val="top"/>
          </w:tcPr>
          <w:p>
            <w:pPr>
              <w:spacing w:after="0"/>
            </w:pPr>
            <w:r>
              <w:rPr>
                <w:sz w:val="15"/>
              </w:rPr>
              <w:t>City of Austin; THC marker</w:t>
            </w:r>
          </w:p>
        </w:tc>
        <w:tc>
          <w:tcPr>
            <w:tcW w:type="dxa" w:w="1680"/>
            <w:vAlign w:val="top"/>
          </w:tcPr>
          <w:p>
            <w:pPr>
              <w:spacing w:after="0"/>
            </w:pPr>
            <w:r>
              <w:rPr>
                <w:sz w:val="15"/>
              </w:rPr>
            </w:r>
          </w:p>
        </w:tc>
      </w:tr>
      <w:tr>
        <w:tc>
          <w:tcPr>
            <w:tcW w:type="dxa" w:w="1680"/>
            <w:vAlign w:val="top"/>
          </w:tcPr>
          <w:p>
            <w:pPr>
              <w:spacing w:after="0"/>
            </w:pPr>
            <w:r>
              <w:rPr>
                <w:sz w:val="15"/>
              </w:rPr>
              <w:t>F</w:t>
            </w:r>
          </w:p>
        </w:tc>
        <w:tc>
          <w:tcPr>
            <w:tcW w:type="dxa" w:w="1680"/>
            <w:vAlign w:val="top"/>
          </w:tcPr>
          <w:p>
            <w:pPr>
              <w:spacing w:after="0"/>
            </w:pPr>
            <w:r>
              <w:rPr>
                <w:sz w:val="15"/>
              </w:rPr>
              <w:t>The course/lease transferred to City operation in 1936.</w:t>
            </w:r>
          </w:p>
        </w:tc>
        <w:tc>
          <w:tcPr>
            <w:tcW w:type="dxa" w:w="1680"/>
            <w:vAlign w:val="top"/>
          </w:tcPr>
          <w:p>
            <w:pPr>
              <w:spacing w:after="0"/>
            </w:pPr>
            <w:r>
              <w:rPr>
                <w:sz w:val="15"/>
              </w:rPr>
              <w:t>HIGH</w:t>
            </w:r>
          </w:p>
        </w:tc>
        <w:tc>
          <w:tcPr>
            <w:tcW w:type="dxa" w:w="1680"/>
            <w:vAlign w:val="top"/>
          </w:tcPr>
          <w:p>
            <w:pPr>
              <w:spacing w:after="0"/>
            </w:pPr>
            <w:r>
              <w:rPr>
                <w:sz w:val="15"/>
              </w:rPr>
              <w:t>PUBLISH</w:t>
            </w:r>
          </w:p>
        </w:tc>
        <w:tc>
          <w:tcPr>
            <w:tcW w:type="dxa" w:w="1680"/>
            <w:vAlign w:val="top"/>
          </w:tcPr>
          <w:p>
            <w:pPr>
              <w:spacing w:after="0"/>
            </w:pPr>
            <w:r>
              <w:rPr>
                <w:sz w:val="15"/>
              </w:rPr>
              <w:t>City of Austin; National Register</w:t>
            </w:r>
          </w:p>
        </w:tc>
        <w:tc>
          <w:tcPr>
            <w:tcW w:type="dxa" w:w="1680"/>
            <w:vAlign w:val="top"/>
          </w:tcPr>
          <w:p>
            <w:pPr>
              <w:spacing w:after="0"/>
            </w:pPr>
            <w:r>
              <w:rPr>
                <w:sz w:val="15"/>
              </w:rPr>
            </w:r>
          </w:p>
        </w:tc>
      </w:tr>
      <w:tr>
        <w:tc>
          <w:tcPr>
            <w:tcW w:type="dxa" w:w="1680"/>
            <w:vAlign w:val="top"/>
          </w:tcPr>
          <w:p>
            <w:pPr>
              <w:spacing w:after="0"/>
            </w:pPr>
            <w:r>
              <w:rPr>
                <w:sz w:val="15"/>
              </w:rPr>
              <w:t>F</w:t>
            </w:r>
          </w:p>
        </w:tc>
        <w:tc>
          <w:tcPr>
            <w:tcW w:type="dxa" w:w="1680"/>
            <w:vAlign w:val="top"/>
          </w:tcPr>
          <w:p>
            <w:pPr>
              <w:spacing w:after="0"/>
            </w:pPr>
            <w:r>
              <w:rPr>
                <w:sz w:val="15"/>
              </w:rPr>
              <w:t>B.F. Rowe is identified in the National Register documentation as the original course designer.</w:t>
            </w:r>
          </w:p>
        </w:tc>
        <w:tc>
          <w:tcPr>
            <w:tcW w:type="dxa" w:w="1680"/>
            <w:vAlign w:val="top"/>
          </w:tcPr>
          <w:p>
            <w:pPr>
              <w:spacing w:after="0"/>
            </w:pPr>
            <w:r>
              <w:rPr>
                <w:sz w:val="15"/>
              </w:rPr>
              <w:t>HIGH</w:t>
            </w:r>
          </w:p>
        </w:tc>
        <w:tc>
          <w:tcPr>
            <w:tcW w:type="dxa" w:w="1680"/>
            <w:vAlign w:val="top"/>
          </w:tcPr>
          <w:p>
            <w:pPr>
              <w:spacing w:after="0"/>
            </w:pPr>
            <w:r>
              <w:rPr>
                <w:sz w:val="15"/>
              </w:rPr>
              <w:t>PUBLISH WITH CONTEXT</w:t>
            </w:r>
          </w:p>
        </w:tc>
        <w:tc>
          <w:tcPr>
            <w:tcW w:type="dxa" w:w="1680"/>
            <w:vAlign w:val="top"/>
          </w:tcPr>
          <w:p>
            <w:pPr>
              <w:spacing w:after="0"/>
            </w:pPr>
            <w:r>
              <w:rPr>
                <w:sz w:val="15"/>
              </w:rPr>
              <w:t>National Register</w:t>
            </w:r>
          </w:p>
        </w:tc>
        <w:tc>
          <w:tcPr>
            <w:tcW w:type="dxa" w:w="1680"/>
            <w:vAlign w:val="top"/>
          </w:tcPr>
          <w:p>
            <w:pPr>
              <w:spacing w:after="0"/>
            </w:pPr>
            <w:r>
              <w:rPr>
                <w:sz w:val="15"/>
              </w:rPr>
            </w:r>
          </w:p>
        </w:tc>
      </w:tr>
      <w:tr>
        <w:tc>
          <w:tcPr>
            <w:tcW w:type="dxa" w:w="1680"/>
            <w:vAlign w:val="top"/>
          </w:tcPr>
          <w:p>
            <w:pPr>
              <w:spacing w:after="0"/>
            </w:pPr>
            <w:r>
              <w:rPr>
                <w:sz w:val="15"/>
              </w:rPr>
              <w:t>F</w:t>
            </w:r>
          </w:p>
        </w:tc>
        <w:tc>
          <w:tcPr>
            <w:tcW w:type="dxa" w:w="1680"/>
            <w:vAlign w:val="top"/>
          </w:tcPr>
          <w:p>
            <w:pPr>
              <w:spacing w:after="0"/>
            </w:pPr>
            <w:r>
              <w:rPr>
                <w:sz w:val="15"/>
              </w:rPr>
              <w:t>A.W. Tillinghast consulted at Lions in December 1936 and recommended changes to specific holes.</w:t>
            </w:r>
          </w:p>
        </w:tc>
        <w:tc>
          <w:tcPr>
            <w:tcW w:type="dxa" w:w="1680"/>
            <w:vAlign w:val="top"/>
          </w:tcPr>
          <w:p>
            <w:pPr>
              <w:spacing w:after="0"/>
            </w:pPr>
            <w:r>
              <w:rPr>
                <w:sz w:val="15"/>
              </w:rPr>
              <w:t>HIGH</w:t>
            </w:r>
          </w:p>
        </w:tc>
        <w:tc>
          <w:tcPr>
            <w:tcW w:type="dxa" w:w="1680"/>
            <w:vAlign w:val="top"/>
          </w:tcPr>
          <w:p>
            <w:pPr>
              <w:spacing w:after="0"/>
            </w:pPr>
            <w:r>
              <w:rPr>
                <w:sz w:val="15"/>
              </w:rPr>
              <w:t>PUBLISH</w:t>
            </w:r>
          </w:p>
        </w:tc>
        <w:tc>
          <w:tcPr>
            <w:tcW w:type="dxa" w:w="1680"/>
            <w:vAlign w:val="top"/>
          </w:tcPr>
          <w:p>
            <w:pPr>
              <w:spacing w:after="0"/>
            </w:pPr>
            <w:r>
              <w:rPr>
                <w:sz w:val="15"/>
              </w:rPr>
              <w:t>National Register</w:t>
            </w:r>
          </w:p>
        </w:tc>
        <w:tc>
          <w:tcPr>
            <w:tcW w:type="dxa" w:w="1680"/>
            <w:vAlign w:val="top"/>
          </w:tcPr>
          <w:p>
            <w:pPr>
              <w:spacing w:after="0"/>
            </w:pPr>
            <w:r>
              <w:rPr>
                <w:sz w:val="15"/>
              </w:rPr>
            </w:r>
          </w:p>
        </w:tc>
      </w:tr>
      <w:tr>
        <w:tc>
          <w:tcPr>
            <w:tcW w:type="dxa" w:w="1680"/>
            <w:vAlign w:val="top"/>
          </w:tcPr>
          <w:p>
            <w:pPr>
              <w:spacing w:after="0"/>
            </w:pPr>
            <w:r>
              <w:rPr>
                <w:sz w:val="15"/>
              </w:rPr>
              <w:t>F</w:t>
            </w:r>
          </w:p>
        </w:tc>
        <w:tc>
          <w:tcPr>
            <w:tcW w:type="dxa" w:w="1680"/>
            <w:vAlign w:val="top"/>
          </w:tcPr>
          <w:p>
            <w:pPr>
              <w:spacing w:after="0"/>
            </w:pPr>
            <w:r>
              <w:rPr>
                <w:sz w:val="15"/>
              </w:rPr>
              <w:t>WPA-funded improvements followed in 1937–39.</w:t>
            </w:r>
          </w:p>
        </w:tc>
        <w:tc>
          <w:tcPr>
            <w:tcW w:type="dxa" w:w="1680"/>
            <w:vAlign w:val="top"/>
          </w:tcPr>
          <w:p>
            <w:pPr>
              <w:spacing w:after="0"/>
            </w:pPr>
            <w:r>
              <w:rPr>
                <w:sz w:val="15"/>
              </w:rPr>
              <w:t>HIGH</w:t>
            </w:r>
          </w:p>
        </w:tc>
        <w:tc>
          <w:tcPr>
            <w:tcW w:type="dxa" w:w="1680"/>
            <w:vAlign w:val="top"/>
          </w:tcPr>
          <w:p>
            <w:pPr>
              <w:spacing w:after="0"/>
            </w:pPr>
            <w:r>
              <w:rPr>
                <w:sz w:val="15"/>
              </w:rPr>
              <w:t>PUBLISH</w:t>
            </w:r>
          </w:p>
        </w:tc>
        <w:tc>
          <w:tcPr>
            <w:tcW w:type="dxa" w:w="1680"/>
            <w:vAlign w:val="top"/>
          </w:tcPr>
          <w:p>
            <w:pPr>
              <w:spacing w:after="0"/>
            </w:pPr>
            <w:r>
              <w:rPr>
                <w:sz w:val="15"/>
              </w:rPr>
              <w:t>National Register</w:t>
            </w:r>
          </w:p>
        </w:tc>
        <w:tc>
          <w:tcPr>
            <w:tcW w:type="dxa" w:w="1680"/>
            <w:vAlign w:val="top"/>
          </w:tcPr>
          <w:p>
            <w:pPr>
              <w:spacing w:after="0"/>
            </w:pPr>
            <w:r>
              <w:rPr>
                <w:sz w:val="15"/>
              </w:rPr>
            </w:r>
          </w:p>
        </w:tc>
      </w:tr>
      <w:tr>
        <w:tc>
          <w:tcPr>
            <w:tcW w:type="dxa" w:w="1680"/>
            <w:vAlign w:val="top"/>
          </w:tcPr>
          <w:p>
            <w:pPr>
              <w:spacing w:after="0"/>
            </w:pPr>
            <w:r>
              <w:rPr>
                <w:sz w:val="15"/>
              </w:rPr>
              <w:t>U</w:t>
            </w:r>
          </w:p>
        </w:tc>
        <w:tc>
          <w:tcPr>
            <w:tcW w:type="dxa" w:w="1680"/>
            <w:vAlign w:val="top"/>
          </w:tcPr>
          <w:p>
            <w:pPr>
              <w:spacing w:after="0"/>
            </w:pPr>
            <w:r>
              <w:rPr>
                <w:sz w:val="15"/>
              </w:rPr>
              <w:t>“Lions is a Tillinghast-designed course.”</w:t>
            </w:r>
          </w:p>
        </w:tc>
        <w:tc>
          <w:tcPr>
            <w:tcW w:type="dxa" w:w="1680"/>
            <w:vAlign w:val="top"/>
          </w:tcPr>
          <w:p>
            <w:pPr>
              <w:spacing w:after="0"/>
            </w:pPr>
            <w:r>
              <w:rPr>
                <w:sz w:val="15"/>
              </w:rPr>
              <w:t>—</w:t>
            </w:r>
          </w:p>
        </w:tc>
        <w:tc>
          <w:tcPr>
            <w:tcW w:type="dxa" w:w="1680"/>
            <w:vAlign w:val="top"/>
          </w:tcPr>
          <w:p>
            <w:pPr>
              <w:spacing w:after="0"/>
            </w:pPr>
            <w:r>
              <w:rPr>
                <w:sz w:val="15"/>
              </w:rPr>
              <w:t>DO NOT PUBLISH</w:t>
            </w:r>
          </w:p>
        </w:tc>
        <w:tc>
          <w:tcPr>
            <w:tcW w:type="dxa" w:w="1680"/>
            <w:vAlign w:val="top"/>
          </w:tcPr>
          <w:p>
            <w:pPr>
              <w:spacing w:after="0"/>
            </w:pPr>
            <w:r>
              <w:rPr>
                <w:sz w:val="15"/>
              </w:rPr>
              <w:t>Overstates documented role</w:t>
            </w:r>
          </w:p>
        </w:tc>
        <w:tc>
          <w:tcPr>
            <w:tcW w:type="dxa" w:w="1680"/>
            <w:vAlign w:val="top"/>
          </w:tcPr>
          <w:p>
            <w:pPr>
              <w:spacing w:after="0"/>
            </w:pPr>
            <w:r>
              <w:rPr>
                <w:sz w:val="15"/>
              </w:rPr>
            </w:r>
          </w:p>
        </w:tc>
      </w:tr>
      <w:tr>
        <w:tc>
          <w:tcPr>
            <w:tcW w:type="dxa" w:w="1680"/>
            <w:vAlign w:val="top"/>
          </w:tcPr>
          <w:p>
            <w:pPr>
              <w:spacing w:after="0"/>
            </w:pPr>
            <w:r>
              <w:rPr>
                <w:sz w:val="15"/>
              </w:rPr>
              <w:t>F</w:t>
            </w:r>
          </w:p>
        </w:tc>
        <w:tc>
          <w:tcPr>
            <w:tcW w:type="dxa" w:w="1680"/>
            <w:vAlign w:val="top"/>
          </w:tcPr>
          <w:p>
            <w:pPr>
              <w:spacing w:after="0"/>
            </w:pPr>
            <w:r>
              <w:rPr>
                <w:sz w:val="15"/>
              </w:rPr>
              <w:t>Black Austinites from nearby Clarksville helped build/work at Muny and served as caddies while segregation excluded Black golfers from play.</w:t>
            </w:r>
          </w:p>
        </w:tc>
        <w:tc>
          <w:tcPr>
            <w:tcW w:type="dxa" w:w="1680"/>
            <w:vAlign w:val="top"/>
          </w:tcPr>
          <w:p>
            <w:pPr>
              <w:spacing w:after="0"/>
            </w:pPr>
            <w:r>
              <w:rPr>
                <w:sz w:val="15"/>
              </w:rPr>
              <w:t>HIGH</w:t>
            </w:r>
          </w:p>
        </w:tc>
        <w:tc>
          <w:tcPr>
            <w:tcW w:type="dxa" w:w="1680"/>
            <w:vAlign w:val="top"/>
          </w:tcPr>
          <w:p>
            <w:pPr>
              <w:spacing w:after="0"/>
            </w:pPr>
            <w:r>
              <w:rPr>
                <w:sz w:val="15"/>
              </w:rPr>
              <w:t>PUBLISH</w:t>
            </w:r>
          </w:p>
        </w:tc>
        <w:tc>
          <w:tcPr>
            <w:tcW w:type="dxa" w:w="1680"/>
            <w:vAlign w:val="top"/>
          </w:tcPr>
          <w:p>
            <w:pPr>
              <w:spacing w:after="0"/>
            </w:pPr>
            <w:r>
              <w:rPr>
                <w:sz w:val="15"/>
              </w:rPr>
              <w:t>THC marker; National Register</w:t>
            </w:r>
          </w:p>
        </w:tc>
        <w:tc>
          <w:tcPr>
            <w:tcW w:type="dxa" w:w="1680"/>
            <w:vAlign w:val="top"/>
          </w:tcPr>
          <w:p>
            <w:pPr>
              <w:spacing w:after="0"/>
            </w:pPr>
            <w:r>
              <w:rPr>
                <w:sz w:val="15"/>
              </w:rPr>
            </w:r>
          </w:p>
        </w:tc>
      </w:tr>
      <w:tr>
        <w:tc>
          <w:tcPr>
            <w:tcW w:type="dxa" w:w="1680"/>
            <w:vAlign w:val="top"/>
          </w:tcPr>
          <w:p>
            <w:pPr>
              <w:spacing w:after="0"/>
            </w:pPr>
            <w:r>
              <w:rPr>
                <w:sz w:val="15"/>
              </w:rPr>
              <w:t>F</w:t>
            </w:r>
          </w:p>
        </w:tc>
        <w:tc>
          <w:tcPr>
            <w:tcW w:type="dxa" w:w="1680"/>
            <w:vAlign w:val="top"/>
          </w:tcPr>
          <w:p>
            <w:pPr>
              <w:spacing w:after="0"/>
            </w:pPr>
            <w:r>
              <w:rPr>
                <w:sz w:val="15"/>
              </w:rPr>
              <w:t>African American golfers began playing at Muny around late 1950 / early 1951; the exact chronology should be expressed as a range rather than forced into one date.</w:t>
            </w:r>
          </w:p>
        </w:tc>
        <w:tc>
          <w:tcPr>
            <w:tcW w:type="dxa" w:w="1680"/>
            <w:vAlign w:val="top"/>
          </w:tcPr>
          <w:p>
            <w:pPr>
              <w:spacing w:after="0"/>
            </w:pPr>
            <w:r>
              <w:rPr>
                <w:sz w:val="15"/>
              </w:rPr>
              <w:t>HIGH</w:t>
            </w:r>
          </w:p>
        </w:tc>
        <w:tc>
          <w:tcPr>
            <w:tcW w:type="dxa" w:w="1680"/>
            <w:vAlign w:val="top"/>
          </w:tcPr>
          <w:p>
            <w:pPr>
              <w:spacing w:after="0"/>
            </w:pPr>
            <w:r>
              <w:rPr>
                <w:sz w:val="15"/>
              </w:rPr>
              <w:t>PUBLISH WITH CHRONOLOGY CAVEAT</w:t>
            </w:r>
          </w:p>
        </w:tc>
        <w:tc>
          <w:tcPr>
            <w:tcW w:type="dxa" w:w="1680"/>
            <w:vAlign w:val="top"/>
          </w:tcPr>
          <w:p>
            <w:pPr>
              <w:spacing w:after="0"/>
            </w:pPr>
            <w:r>
              <w:rPr>
                <w:sz w:val="15"/>
              </w:rPr>
              <w:t>National Register; THC marker</w:t>
            </w:r>
          </w:p>
        </w:tc>
        <w:tc>
          <w:tcPr>
            <w:tcW w:type="dxa" w:w="1680"/>
            <w:vAlign w:val="top"/>
          </w:tcPr>
          <w:p>
            <w:pPr>
              <w:spacing w:after="0"/>
            </w:pPr>
            <w:r>
              <w:rPr>
                <w:sz w:val="15"/>
              </w:rPr>
            </w:r>
          </w:p>
        </w:tc>
      </w:tr>
      <w:tr>
        <w:tc>
          <w:tcPr>
            <w:tcW w:type="dxa" w:w="1680"/>
            <w:vAlign w:val="top"/>
          </w:tcPr>
          <w:p>
            <w:pPr>
              <w:spacing w:after="0"/>
            </w:pPr>
            <w:r>
              <w:rPr>
                <w:sz w:val="15"/>
              </w:rPr>
              <w:t>F/C</w:t>
            </w:r>
          </w:p>
        </w:tc>
        <w:tc>
          <w:tcPr>
            <w:tcW w:type="dxa" w:w="1680"/>
            <w:vAlign w:val="top"/>
          </w:tcPr>
          <w:p>
            <w:pPr>
              <w:spacing w:after="0"/>
            </w:pPr>
            <w:r>
              <w:rPr>
                <w:sz w:val="15"/>
              </w:rPr>
              <w:t>Historical scholarship supporting the National Register nomination concludes Muny was the first municipal course in the former Confederate states to desegregate.</w:t>
            </w:r>
          </w:p>
        </w:tc>
        <w:tc>
          <w:tcPr>
            <w:tcW w:type="dxa" w:w="1680"/>
            <w:vAlign w:val="top"/>
          </w:tcPr>
          <w:p>
            <w:pPr>
              <w:spacing w:after="0"/>
            </w:pPr>
            <w:r>
              <w:rPr>
                <w:sz w:val="15"/>
              </w:rPr>
              <w:t>HIGH</w:t>
            </w:r>
          </w:p>
        </w:tc>
        <w:tc>
          <w:tcPr>
            <w:tcW w:type="dxa" w:w="1680"/>
            <w:vAlign w:val="top"/>
          </w:tcPr>
          <w:p>
            <w:pPr>
              <w:spacing w:after="0"/>
            </w:pPr>
            <w:r>
              <w:rPr>
                <w:sz w:val="15"/>
              </w:rPr>
              <w:t>PUBLISH WITH ATTRIBUTION</w:t>
            </w:r>
          </w:p>
        </w:tc>
        <w:tc>
          <w:tcPr>
            <w:tcW w:type="dxa" w:w="1680"/>
            <w:vAlign w:val="top"/>
          </w:tcPr>
          <w:p>
            <w:pPr>
              <w:spacing w:after="0"/>
            </w:pPr>
            <w:r>
              <w:rPr>
                <w:sz w:val="15"/>
              </w:rPr>
              <w:t>National Register</w:t>
            </w:r>
          </w:p>
        </w:tc>
        <w:tc>
          <w:tcPr>
            <w:tcW w:type="dxa" w:w="1680"/>
            <w:vAlign w:val="top"/>
          </w:tcPr>
          <w:p>
            <w:pPr>
              <w:spacing w:after="0"/>
            </w:pPr>
            <w:r>
              <w:rPr>
                <w:sz w:val="15"/>
              </w:rPr>
            </w:r>
          </w:p>
        </w:tc>
      </w:tr>
      <w:tr>
        <w:tc>
          <w:tcPr>
            <w:tcW w:type="dxa" w:w="1680"/>
            <w:vAlign w:val="top"/>
          </w:tcPr>
          <w:p>
            <w:pPr>
              <w:spacing w:after="0"/>
            </w:pPr>
            <w:r>
              <w:rPr>
                <w:sz w:val="15"/>
              </w:rPr>
              <w:t>F</w:t>
            </w:r>
          </w:p>
        </w:tc>
        <w:tc>
          <w:tcPr>
            <w:tcW w:type="dxa" w:w="1680"/>
            <w:vAlign w:val="top"/>
          </w:tcPr>
          <w:p>
            <w:pPr>
              <w:spacing w:after="0"/>
            </w:pPr>
            <w:r>
              <w:rPr>
                <w:sz w:val="15"/>
              </w:rPr>
              <w:t>Muny’s desegregation preceded Brown v. Board of Education (1954).</w:t>
            </w:r>
          </w:p>
        </w:tc>
        <w:tc>
          <w:tcPr>
            <w:tcW w:type="dxa" w:w="1680"/>
            <w:vAlign w:val="top"/>
          </w:tcPr>
          <w:p>
            <w:pPr>
              <w:spacing w:after="0"/>
            </w:pPr>
            <w:r>
              <w:rPr>
                <w:sz w:val="15"/>
              </w:rPr>
              <w:t>HIGH</w:t>
            </w:r>
          </w:p>
        </w:tc>
        <w:tc>
          <w:tcPr>
            <w:tcW w:type="dxa" w:w="1680"/>
            <w:vAlign w:val="top"/>
          </w:tcPr>
          <w:p>
            <w:pPr>
              <w:spacing w:after="0"/>
            </w:pPr>
            <w:r>
              <w:rPr>
                <w:sz w:val="15"/>
              </w:rPr>
              <w:t>PUBLISH</w:t>
            </w:r>
          </w:p>
        </w:tc>
        <w:tc>
          <w:tcPr>
            <w:tcW w:type="dxa" w:w="1680"/>
            <w:vAlign w:val="top"/>
          </w:tcPr>
          <w:p>
            <w:pPr>
              <w:spacing w:after="0"/>
            </w:pPr>
            <w:r>
              <w:rPr>
                <w:sz w:val="15"/>
              </w:rPr>
              <w:t>National Register; City</w:t>
            </w:r>
          </w:p>
        </w:tc>
        <w:tc>
          <w:tcPr>
            <w:tcW w:type="dxa" w:w="1680"/>
            <w:vAlign w:val="top"/>
          </w:tcPr>
          <w:p>
            <w:pPr>
              <w:spacing w:after="0"/>
            </w:pPr>
            <w:r>
              <w:rPr>
                <w:sz w:val="15"/>
              </w:rPr>
            </w:r>
          </w:p>
        </w:tc>
      </w:tr>
      <w:tr>
        <w:tc>
          <w:tcPr>
            <w:tcW w:type="dxa" w:w="1680"/>
            <w:vAlign w:val="top"/>
          </w:tcPr>
          <w:p>
            <w:pPr>
              <w:spacing w:after="0"/>
            </w:pPr>
            <w:r>
              <w:rPr>
                <w:sz w:val="15"/>
              </w:rPr>
              <w:t>F</w:t>
            </w:r>
          </w:p>
        </w:tc>
        <w:tc>
          <w:tcPr>
            <w:tcW w:type="dxa" w:w="1680"/>
            <w:vAlign w:val="top"/>
          </w:tcPr>
          <w:p>
            <w:pPr>
              <w:spacing w:after="0"/>
            </w:pPr>
            <w:r>
              <w:rPr>
                <w:sz w:val="15"/>
              </w:rPr>
              <w:t>Lions was listed in the National Register of Historic Places on July 7, 2016.</w:t>
            </w:r>
          </w:p>
        </w:tc>
        <w:tc>
          <w:tcPr>
            <w:tcW w:type="dxa" w:w="1680"/>
            <w:vAlign w:val="top"/>
          </w:tcPr>
          <w:p>
            <w:pPr>
              <w:spacing w:after="0"/>
            </w:pPr>
            <w:r>
              <w:rPr>
                <w:sz w:val="15"/>
              </w:rPr>
              <w:t>HIGH</w:t>
            </w:r>
          </w:p>
        </w:tc>
        <w:tc>
          <w:tcPr>
            <w:tcW w:type="dxa" w:w="1680"/>
            <w:vAlign w:val="top"/>
          </w:tcPr>
          <w:p>
            <w:pPr>
              <w:spacing w:after="0"/>
            </w:pPr>
            <w:r>
              <w:rPr>
                <w:sz w:val="15"/>
              </w:rPr>
              <w:t>PUBLISH</w:t>
            </w:r>
          </w:p>
        </w:tc>
        <w:tc>
          <w:tcPr>
            <w:tcW w:type="dxa" w:w="1680"/>
            <w:vAlign w:val="top"/>
          </w:tcPr>
          <w:p>
            <w:pPr>
              <w:spacing w:after="0"/>
            </w:pPr>
            <w:r>
              <w:rPr>
                <w:sz w:val="15"/>
              </w:rPr>
              <w:t>Texas Historical Commission</w:t>
            </w:r>
          </w:p>
        </w:tc>
        <w:tc>
          <w:tcPr>
            <w:tcW w:type="dxa" w:w="1680"/>
            <w:vAlign w:val="top"/>
          </w:tcPr>
          <w:p>
            <w:pPr>
              <w:spacing w:after="0"/>
            </w:pPr>
            <w:r>
              <w:rPr>
                <w:sz w:val="15"/>
              </w:rPr>
            </w:r>
          </w:p>
        </w:tc>
      </w:tr>
      <w:tr>
        <w:tc>
          <w:tcPr>
            <w:tcW w:type="dxa" w:w="1680"/>
            <w:vAlign w:val="top"/>
          </w:tcPr>
          <w:p>
            <w:pPr>
              <w:spacing w:after="0"/>
            </w:pPr>
            <w:r>
              <w:rPr>
                <w:sz w:val="15"/>
              </w:rPr>
              <w:t>F</w:t>
            </w:r>
          </w:p>
        </w:tc>
        <w:tc>
          <w:tcPr>
            <w:tcW w:type="dxa" w:w="1680"/>
            <w:vAlign w:val="top"/>
          </w:tcPr>
          <w:p>
            <w:pPr>
              <w:spacing w:after="0"/>
            </w:pPr>
            <w:r>
              <w:rPr>
                <w:sz w:val="15"/>
              </w:rPr>
              <w:t>The Firecracker is a longstanding amateur tournament at Lions; current City material dates the tradition to 1946 and describes it as a 54-hole amateur stroke-play event.</w:t>
            </w:r>
          </w:p>
        </w:tc>
        <w:tc>
          <w:tcPr>
            <w:tcW w:type="dxa" w:w="1680"/>
            <w:vAlign w:val="top"/>
          </w:tcPr>
          <w:p>
            <w:pPr>
              <w:spacing w:after="0"/>
            </w:pPr>
            <w:r>
              <w:rPr>
                <w:sz w:val="15"/>
              </w:rPr>
              <w:t>HIGH</w:t>
            </w:r>
          </w:p>
        </w:tc>
        <w:tc>
          <w:tcPr>
            <w:tcW w:type="dxa" w:w="1680"/>
            <w:vAlign w:val="top"/>
          </w:tcPr>
          <w:p>
            <w:pPr>
              <w:spacing w:after="0"/>
            </w:pPr>
            <w:r>
              <w:rPr>
                <w:sz w:val="15"/>
              </w:rPr>
              <w:t>PUBLISH USING CURRENT CITY DATE</w:t>
            </w:r>
          </w:p>
        </w:tc>
        <w:tc>
          <w:tcPr>
            <w:tcW w:type="dxa" w:w="1680"/>
            <w:vAlign w:val="top"/>
          </w:tcPr>
          <w:p>
            <w:pPr>
              <w:spacing w:after="0"/>
            </w:pPr>
            <w:r>
              <w:rPr>
                <w:sz w:val="15"/>
              </w:rPr>
              <w:t>City of Austin 2026</w:t>
            </w:r>
          </w:p>
        </w:tc>
        <w:tc>
          <w:tcPr>
            <w:tcW w:type="dxa" w:w="1680"/>
            <w:vAlign w:val="top"/>
          </w:tcPr>
          <w:p>
            <w:pPr>
              <w:spacing w:after="0"/>
            </w:pPr>
            <w:r>
              <w:rPr>
                <w:sz w:val="15"/>
              </w:rPr>
            </w:r>
          </w:p>
        </w:tc>
      </w:tr>
      <w:tr>
        <w:tc>
          <w:tcPr>
            <w:tcW w:type="dxa" w:w="1680"/>
            <w:vAlign w:val="top"/>
          </w:tcPr>
          <w:p>
            <w:pPr>
              <w:spacing w:after="0"/>
            </w:pPr>
            <w:r>
              <w:rPr>
                <w:sz w:val="15"/>
              </w:rPr>
              <w:t>C</w:t>
            </w:r>
          </w:p>
        </w:tc>
        <w:tc>
          <w:tcPr>
            <w:tcW w:type="dxa" w:w="1680"/>
            <w:vAlign w:val="top"/>
          </w:tcPr>
          <w:p>
            <w:pPr>
              <w:spacing w:after="0"/>
            </w:pPr>
            <w:r>
              <w:rPr>
                <w:sz w:val="15"/>
              </w:rPr>
              <w:t>The National Register nomination contains an older statement dating the Firecracker to 1945; current City material says 1946.</w:t>
            </w:r>
          </w:p>
        </w:tc>
        <w:tc>
          <w:tcPr>
            <w:tcW w:type="dxa" w:w="1680"/>
            <w:vAlign w:val="top"/>
          </w:tcPr>
          <w:p>
            <w:pPr>
              <w:spacing w:after="0"/>
            </w:pPr>
            <w:r>
              <w:rPr>
                <w:sz w:val="15"/>
              </w:rPr>
              <w:t>HIGH</w:t>
            </w:r>
          </w:p>
        </w:tc>
        <w:tc>
          <w:tcPr>
            <w:tcW w:type="dxa" w:w="1680"/>
            <w:vAlign w:val="top"/>
          </w:tcPr>
          <w:p>
            <w:pPr>
              <w:spacing w:after="0"/>
            </w:pPr>
            <w:r>
              <w:rPr>
                <w:sz w:val="15"/>
              </w:rPr>
              <w:t>INTERNAL CONFLICT NOTE</w:t>
            </w:r>
          </w:p>
        </w:tc>
        <w:tc>
          <w:tcPr>
            <w:tcW w:type="dxa" w:w="1680"/>
            <w:vAlign w:val="top"/>
          </w:tcPr>
          <w:p>
            <w:pPr>
              <w:spacing w:after="0"/>
            </w:pPr>
            <w:r>
              <w:rPr>
                <w:sz w:val="15"/>
              </w:rPr>
              <w:t>National Register vs. current City</w:t>
            </w:r>
          </w:p>
        </w:tc>
        <w:tc>
          <w:tcPr>
            <w:tcW w:type="dxa" w:w="1680"/>
            <w:vAlign w:val="top"/>
          </w:tcPr>
          <w:p>
            <w:pPr>
              <w:spacing w:after="0"/>
            </w:pPr>
            <w:r>
              <w:rPr>
                <w:sz w:val="15"/>
              </w:rPr>
            </w:r>
          </w:p>
        </w:tc>
      </w:tr>
      <w:tr>
        <w:tc>
          <w:tcPr>
            <w:tcW w:type="dxa" w:w="1680"/>
            <w:vAlign w:val="top"/>
          </w:tcPr>
          <w:p>
            <w:pPr>
              <w:spacing w:after="0"/>
            </w:pPr>
            <w:r>
              <w:rPr>
                <w:sz w:val="15"/>
              </w:rPr>
              <w:t>F</w:t>
            </w:r>
          </w:p>
        </w:tc>
        <w:tc>
          <w:tcPr>
            <w:tcW w:type="dxa" w:w="1680"/>
            <w:vAlign w:val="top"/>
          </w:tcPr>
          <w:p>
            <w:pPr>
              <w:spacing w:after="0"/>
            </w:pPr>
            <w:r>
              <w:rPr>
                <w:sz w:val="15"/>
              </w:rPr>
              <w:t>GolfATX calls the Firecracker Texas’ oldest amateur tournament and identifies notable Lions golfers including Ben Hogan, Byron Nelson, Sandra Haynie, Tom Kite and Ben Crenshaw.</w:t>
            </w:r>
          </w:p>
        </w:tc>
        <w:tc>
          <w:tcPr>
            <w:tcW w:type="dxa" w:w="1680"/>
            <w:vAlign w:val="top"/>
          </w:tcPr>
          <w:p>
            <w:pPr>
              <w:spacing w:after="0"/>
            </w:pPr>
            <w:r>
              <w:rPr>
                <w:sz w:val="15"/>
              </w:rPr>
              <w:t>HIGH</w:t>
            </w:r>
          </w:p>
        </w:tc>
        <w:tc>
          <w:tcPr>
            <w:tcW w:type="dxa" w:w="1680"/>
            <w:vAlign w:val="top"/>
          </w:tcPr>
          <w:p>
            <w:pPr>
              <w:spacing w:after="0"/>
            </w:pPr>
            <w:r>
              <w:rPr>
                <w:sz w:val="15"/>
              </w:rPr>
              <w:t>PUBLISH WITH CITY ATTRIBUTION WHERE NEEDED</w:t>
            </w:r>
          </w:p>
        </w:tc>
        <w:tc>
          <w:tcPr>
            <w:tcW w:type="dxa" w:w="1680"/>
            <w:vAlign w:val="top"/>
          </w:tcPr>
          <w:p>
            <w:pPr>
              <w:spacing w:after="0"/>
            </w:pPr>
            <w:r>
              <w:rPr>
                <w:sz w:val="15"/>
              </w:rPr>
              <w:t>City of Austin</w:t>
            </w:r>
          </w:p>
        </w:tc>
        <w:tc>
          <w:tcPr>
            <w:tcW w:type="dxa" w:w="1680"/>
            <w:vAlign w:val="top"/>
          </w:tcPr>
          <w:p>
            <w:pPr>
              <w:spacing w:after="0"/>
            </w:pPr>
            <w:r>
              <w:rPr>
                <w:sz w:val="15"/>
              </w:rPr>
            </w:r>
          </w:p>
        </w:tc>
      </w:tr>
      <w:tr>
        <w:tc>
          <w:tcPr>
            <w:tcW w:type="dxa" w:w="1680"/>
            <w:vAlign w:val="top"/>
          </w:tcPr>
          <w:p>
            <w:pPr>
              <w:spacing w:after="0"/>
            </w:pPr>
            <w:r>
              <w:rPr>
                <w:sz w:val="15"/>
              </w:rPr>
              <w:t>C</w:t>
            </w:r>
          </w:p>
        </w:tc>
        <w:tc>
          <w:tcPr>
            <w:tcW w:type="dxa" w:w="1680"/>
            <w:vAlign w:val="top"/>
          </w:tcPr>
          <w:p>
            <w:pPr>
              <w:spacing w:after="0"/>
            </w:pPr>
            <w:r>
              <w:rPr>
                <w:sz w:val="15"/>
              </w:rPr>
              <w:t>Muny is an evolved golf landscape, not an untouched 1924 routing or a preserved single-architect composition.</w:t>
            </w:r>
          </w:p>
        </w:tc>
        <w:tc>
          <w:tcPr>
            <w:tcW w:type="dxa" w:w="1680"/>
            <w:vAlign w:val="top"/>
          </w:tcPr>
          <w:p>
            <w:pPr>
              <w:spacing w:after="0"/>
            </w:pPr>
            <w:r>
              <w:rPr>
                <w:sz w:val="15"/>
              </w:rPr>
              <w:t>HIGH</w:t>
            </w:r>
          </w:p>
        </w:tc>
        <w:tc>
          <w:tcPr>
            <w:tcW w:type="dxa" w:w="1680"/>
            <w:vAlign w:val="top"/>
          </w:tcPr>
          <w:p>
            <w:pPr>
              <w:spacing w:after="0"/>
            </w:pPr>
            <w:r>
              <w:rPr>
                <w:sz w:val="15"/>
              </w:rPr>
              <w:t>PUBLISH AS EVIDENCE-BASED INTERPRETATION</w:t>
            </w:r>
          </w:p>
        </w:tc>
        <w:tc>
          <w:tcPr>
            <w:tcW w:type="dxa" w:w="1680"/>
            <w:vAlign w:val="top"/>
          </w:tcPr>
          <w:p>
            <w:pPr>
              <w:spacing w:after="0"/>
            </w:pPr>
            <w:r>
              <w:rPr>
                <w:sz w:val="15"/>
              </w:rPr>
              <w:t>National Register</w:t>
            </w:r>
          </w:p>
        </w:tc>
        <w:tc>
          <w:tcPr>
            <w:tcW w:type="dxa" w:w="1680"/>
            <w:vAlign w:val="top"/>
          </w:tcPr>
          <w:p>
            <w:pPr>
              <w:spacing w:after="0"/>
            </w:pPr>
            <w:r>
              <w:rPr>
                <w:sz w:val="15"/>
              </w:rPr>
            </w:r>
          </w:p>
        </w:tc>
      </w:tr>
      <w:tr>
        <w:tc>
          <w:tcPr>
            <w:tcW w:type="dxa" w:w="1680"/>
            <w:vAlign w:val="top"/>
          </w:tcPr>
          <w:p>
            <w:pPr>
              <w:spacing w:after="0"/>
            </w:pPr>
            <w:r>
              <w:rPr>
                <w:sz w:val="15"/>
              </w:rPr>
              <w:t>F</w:t>
            </w:r>
          </w:p>
        </w:tc>
        <w:tc>
          <w:tcPr>
            <w:tcW w:type="dxa" w:w="1680"/>
            <w:vAlign w:val="top"/>
          </w:tcPr>
          <w:p>
            <w:pPr>
              <w:spacing w:after="0"/>
            </w:pPr>
            <w:r>
              <w:rPr>
                <w:sz w:val="15"/>
              </w:rPr>
              <w:t>The underlying Brackenridge Tract is University of Texas property; City operation has continued under lease arrangements.</w:t>
            </w:r>
          </w:p>
        </w:tc>
        <w:tc>
          <w:tcPr>
            <w:tcW w:type="dxa" w:w="1680"/>
            <w:vAlign w:val="top"/>
          </w:tcPr>
          <w:p>
            <w:pPr>
              <w:spacing w:after="0"/>
            </w:pPr>
            <w:r>
              <w:rPr>
                <w:sz w:val="15"/>
              </w:rPr>
              <w:t>HIGH</w:t>
            </w:r>
          </w:p>
        </w:tc>
        <w:tc>
          <w:tcPr>
            <w:tcW w:type="dxa" w:w="1680"/>
            <w:vAlign w:val="top"/>
          </w:tcPr>
          <w:p>
            <w:pPr>
              <w:spacing w:after="0"/>
            </w:pPr>
            <w:r>
              <w:rPr>
                <w:sz w:val="15"/>
              </w:rPr>
              <w:t>PUBLISH</w:t>
            </w:r>
          </w:p>
        </w:tc>
        <w:tc>
          <w:tcPr>
            <w:tcW w:type="dxa" w:w="1680"/>
            <w:vAlign w:val="top"/>
          </w:tcPr>
          <w:p>
            <w:pPr>
              <w:spacing w:after="0"/>
            </w:pPr>
            <w:r>
              <w:rPr>
                <w:sz w:val="15"/>
              </w:rPr>
              <w:t>National Register; City/UT records</w:t>
            </w:r>
          </w:p>
        </w:tc>
        <w:tc>
          <w:tcPr>
            <w:tcW w:type="dxa" w:w="1680"/>
            <w:vAlign w:val="top"/>
          </w:tcPr>
          <w:p>
            <w:pPr>
              <w:spacing w:after="0"/>
            </w:pPr>
            <w:r>
              <w:rPr>
                <w:sz w:val="15"/>
              </w:rPr>
            </w:r>
          </w:p>
        </w:tc>
      </w:tr>
      <w:tr>
        <w:tc>
          <w:tcPr>
            <w:tcW w:type="dxa" w:w="1680"/>
            <w:vAlign w:val="top"/>
          </w:tcPr>
          <w:p>
            <w:pPr>
              <w:spacing w:after="0"/>
            </w:pPr>
            <w:r>
              <w:rPr>
                <w:sz w:val="15"/>
              </w:rPr>
              <w:t>F</w:t>
            </w:r>
          </w:p>
        </w:tc>
        <w:tc>
          <w:tcPr>
            <w:tcW w:type="dxa" w:w="1680"/>
            <w:vAlign w:val="top"/>
          </w:tcPr>
          <w:p>
            <w:pPr>
              <w:spacing w:after="0"/>
            </w:pPr>
            <w:r>
              <w:rPr>
                <w:sz w:val="15"/>
              </w:rPr>
              <w:t>The Save Historic Muny District remains active in 2026.</w:t>
            </w:r>
          </w:p>
        </w:tc>
        <w:tc>
          <w:tcPr>
            <w:tcW w:type="dxa" w:w="1680"/>
            <w:vAlign w:val="top"/>
          </w:tcPr>
          <w:p>
            <w:pPr>
              <w:spacing w:after="0"/>
            </w:pPr>
            <w:r>
              <w:rPr>
                <w:sz w:val="15"/>
              </w:rPr>
              <w:t>HIGH</w:t>
            </w:r>
          </w:p>
        </w:tc>
        <w:tc>
          <w:tcPr>
            <w:tcW w:type="dxa" w:w="1680"/>
            <w:vAlign w:val="top"/>
          </w:tcPr>
          <w:p>
            <w:pPr>
              <w:spacing w:after="0"/>
            </w:pPr>
            <w:r>
              <w:rPr>
                <w:sz w:val="15"/>
              </w:rPr>
              <w:t>PUBLISH</w:t>
            </w:r>
          </w:p>
        </w:tc>
        <w:tc>
          <w:tcPr>
            <w:tcW w:type="dxa" w:w="1680"/>
            <w:vAlign w:val="top"/>
          </w:tcPr>
          <w:p>
            <w:pPr>
              <w:spacing w:after="0"/>
            </w:pPr>
            <w:r>
              <w:rPr>
                <w:sz w:val="15"/>
              </w:rPr>
              <w:t>City of Austin boards/commissions</w:t>
            </w:r>
          </w:p>
        </w:tc>
        <w:tc>
          <w:tcPr>
            <w:tcW w:type="dxa" w:w="1680"/>
            <w:vAlign w:val="top"/>
          </w:tcPr>
          <w:p>
            <w:pPr>
              <w:spacing w:after="0"/>
            </w:pPr>
            <w:r>
              <w:rPr>
                <w:sz w:val="15"/>
              </w:rPr>
            </w:r>
          </w:p>
        </w:tc>
      </w:tr>
      <w:tr>
        <w:tc>
          <w:tcPr>
            <w:tcW w:type="dxa" w:w="1680"/>
            <w:vAlign w:val="top"/>
          </w:tcPr>
          <w:p>
            <w:pPr>
              <w:spacing w:after="0"/>
            </w:pPr>
            <w:r>
              <w:rPr>
                <w:sz w:val="15"/>
              </w:rPr>
              <w:t>C</w:t>
            </w:r>
          </w:p>
        </w:tc>
        <w:tc>
          <w:tcPr>
            <w:tcW w:type="dxa" w:w="1680"/>
            <w:vAlign w:val="top"/>
          </w:tcPr>
          <w:p>
            <w:pPr>
              <w:spacing w:after="0"/>
            </w:pPr>
            <w:r>
              <w:rPr>
                <w:sz w:val="15"/>
              </w:rPr>
              <w:t>Do not state that Muny’s long-term land future is permanently resolved.</w:t>
            </w:r>
          </w:p>
        </w:tc>
        <w:tc>
          <w:tcPr>
            <w:tcW w:type="dxa" w:w="1680"/>
            <w:vAlign w:val="top"/>
          </w:tcPr>
          <w:p>
            <w:pPr>
              <w:spacing w:after="0"/>
            </w:pPr>
            <w:r>
              <w:rPr>
                <w:sz w:val="15"/>
              </w:rPr>
              <w:t>HIGH</w:t>
            </w:r>
          </w:p>
        </w:tc>
        <w:tc>
          <w:tcPr>
            <w:tcW w:type="dxa" w:w="1680"/>
            <w:vAlign w:val="top"/>
          </w:tcPr>
          <w:p>
            <w:pPr>
              <w:spacing w:after="0"/>
            </w:pPr>
            <w:r>
              <w:rPr>
                <w:sz w:val="15"/>
              </w:rPr>
              <w:t>PUBLISH AS CAUTION / INTERNAL RULE</w:t>
            </w:r>
          </w:p>
        </w:tc>
        <w:tc>
          <w:tcPr>
            <w:tcW w:type="dxa" w:w="1680"/>
            <w:vAlign w:val="top"/>
          </w:tcPr>
          <w:p>
            <w:pPr>
              <w:spacing w:after="0"/>
            </w:pPr>
            <w:r>
              <w:rPr>
                <w:sz w:val="15"/>
              </w:rPr>
              <w:t>Current preservation activity + lease history</w:t>
            </w:r>
          </w:p>
        </w:tc>
        <w:tc>
          <w:tcPr>
            <w:tcW w:type="dxa" w:w="1680"/>
            <w:vAlign w:val="top"/>
          </w:tcPr>
          <w:p>
            <w:pPr>
              <w:spacing w:after="0"/>
            </w:pPr>
            <w:r>
              <w:rPr>
                <w:sz w:val="15"/>
              </w:rPr>
            </w:r>
          </w:p>
        </w:tc>
      </w:tr>
      <w:tr>
        <w:tc>
          <w:tcPr>
            <w:tcW w:type="dxa" w:w="1680"/>
            <w:vAlign w:val="top"/>
          </w:tcPr>
          <w:p>
            <w:pPr>
              <w:spacing w:after="0"/>
            </w:pPr>
            <w:r>
              <w:rPr>
                <w:sz w:val="15"/>
              </w:rPr>
              <w:t>F</w:t>
            </w:r>
          </w:p>
        </w:tc>
        <w:tc>
          <w:tcPr>
            <w:tcW w:type="dxa" w:w="1680"/>
            <w:vAlign w:val="top"/>
          </w:tcPr>
          <w:p>
            <w:pPr>
              <w:spacing w:after="0"/>
            </w:pPr>
            <w:r>
              <w:rPr>
                <w:sz w:val="15"/>
              </w:rPr>
              <w:t>GolfATX currently provides public reservations/tee-time procedures and identifies an irons-only driving range and putting greens.</w:t>
            </w:r>
          </w:p>
        </w:tc>
        <w:tc>
          <w:tcPr>
            <w:tcW w:type="dxa" w:w="1680"/>
            <w:vAlign w:val="top"/>
          </w:tcPr>
          <w:p>
            <w:pPr>
              <w:spacing w:after="0"/>
            </w:pPr>
            <w:r>
              <w:rPr>
                <w:sz w:val="15"/>
              </w:rPr>
              <w:t>HIGH</w:t>
            </w:r>
          </w:p>
        </w:tc>
        <w:tc>
          <w:tcPr>
            <w:tcW w:type="dxa" w:w="1680"/>
            <w:vAlign w:val="top"/>
          </w:tcPr>
          <w:p>
            <w:pPr>
              <w:spacing w:after="0"/>
            </w:pPr>
            <w:r>
              <w:rPr>
                <w:sz w:val="15"/>
              </w:rPr>
              <w:t>PUBLISH, BUT LINK FOR VOLATILE DETAILS</w:t>
            </w:r>
          </w:p>
        </w:tc>
        <w:tc>
          <w:tcPr>
            <w:tcW w:type="dxa" w:w="1680"/>
            <w:vAlign w:val="top"/>
          </w:tcPr>
          <w:p>
            <w:pPr>
              <w:spacing w:after="0"/>
            </w:pPr>
            <w:r>
              <w:rPr>
                <w:sz w:val="15"/>
              </w:rPr>
              <w:t>City of Austin</w:t>
            </w:r>
          </w:p>
        </w:tc>
        <w:tc>
          <w:tcPr>
            <w:tcW w:type="dxa" w:w="1680"/>
            <w:vAlign w:val="top"/>
          </w:tcPr>
          <w:p>
            <w:pPr>
              <w:spacing w:after="0"/>
            </w:pPr>
            <w:r>
              <w:rPr>
                <w:sz w:val="15"/>
              </w:rPr>
            </w:r>
          </w:p>
        </w:tc>
      </w:tr>
      <w:tr>
        <w:tc>
          <w:tcPr>
            <w:tcW w:type="dxa" w:w="1680"/>
            <w:vAlign w:val="top"/>
          </w:tcPr>
          <w:p>
            <w:pPr>
              <w:spacing w:after="0"/>
            </w:pPr>
            <w:r>
              <w:rPr>
                <w:sz w:val="15"/>
              </w:rPr>
              <w:t>E</w:t>
            </w:r>
          </w:p>
        </w:tc>
        <w:tc>
          <w:tcPr>
            <w:tcW w:type="dxa" w:w="1680"/>
            <w:vAlign w:val="top"/>
          </w:tcPr>
          <w:p>
            <w:pPr>
              <w:spacing w:after="0"/>
            </w:pPr>
            <w:r>
              <w:rPr>
                <w:sz w:val="15"/>
              </w:rPr>
              <w:t>Current green conditions, pace, service, favorite holes, present-day playing feel, value, or current difficulty based on AustinGolf play.</w:t>
            </w:r>
          </w:p>
        </w:tc>
        <w:tc>
          <w:tcPr>
            <w:tcW w:type="dxa" w:w="1680"/>
            <w:vAlign w:val="top"/>
          </w:tcPr>
          <w:p>
            <w:pPr>
              <w:spacing w:after="0"/>
            </w:pPr>
            <w:r>
              <w:rPr>
                <w:sz w:val="15"/>
              </w:rPr>
              <w:t>—</w:t>
            </w:r>
          </w:p>
        </w:tc>
        <w:tc>
          <w:tcPr>
            <w:tcW w:type="dxa" w:w="1680"/>
            <w:vAlign w:val="top"/>
          </w:tcPr>
          <w:p>
            <w:pPr>
              <w:spacing w:after="0"/>
            </w:pPr>
            <w:r>
              <w:rPr>
                <w:sz w:val="15"/>
              </w:rPr>
              <w:t>DO NOT PUBLISH IN GUIDE</w:t>
            </w:r>
          </w:p>
        </w:tc>
        <w:tc>
          <w:tcPr>
            <w:tcW w:type="dxa" w:w="1680"/>
            <w:vAlign w:val="top"/>
          </w:tcPr>
          <w:p>
            <w:pPr>
              <w:spacing w:after="0"/>
            </w:pPr>
            <w:r>
              <w:rPr>
                <w:sz w:val="15"/>
              </w:rPr>
              <w:t>Requires firsthand Review</w:t>
            </w:r>
          </w:p>
        </w:tc>
        <w:tc>
          <w:tcPr>
            <w:tcW w:type="dxa" w:w="1680"/>
            <w:vAlign w:val="top"/>
          </w:tcPr>
          <w:p>
            <w:pPr>
              <w:spacing w:after="0"/>
            </w:pPr>
            <w:r>
              <w:rPr>
                <w:sz w:val="15"/>
              </w:rPr>
            </w:r>
          </w:p>
        </w:tc>
      </w:tr>
    </w:tbl>
    <w:p>
      <w:pPr>
        <w:pStyle w:val="Heading1"/>
      </w:pPr>
      <w:r>
        <w:t>5. Civil-Rights Chronology — Locked Wording Rules</w:t>
      </w:r>
    </w:p>
    <w:p>
      <w:r>
        <w:rPr>
          <w:b w:val="0"/>
          <w:i w:val="0"/>
        </w:rPr>
        <w:t>This is the most trust-sensitive section of the Guide. The historical record supports a strong story, but AustinGolf should preserve chronology and attribution.</w:t>
      </w:r>
    </w:p>
    <w:p>
      <w:pPr>
        <w:pStyle w:val="ListBullet"/>
        <w:spacing w:after="40"/>
      </w:pPr>
      <w:r>
        <w:t>Muny was segregated from its inception even though Black residents, including people from nearby Clarksville, participated in building and working at the course.</w:t>
      </w:r>
    </w:p>
    <w:p>
      <w:pPr>
        <w:pStyle w:val="ListBullet"/>
        <w:spacing w:after="40"/>
      </w:pPr>
      <w:r>
        <w:t>The National Register nomination reports that African Americans probably began quietly playing at Muny in late 1950. Press accounts in early 1951 discussed Black golfers’ use of the course.</w:t>
      </w:r>
    </w:p>
    <w:p>
      <w:pPr>
        <w:pStyle w:val="ListBullet"/>
        <w:spacing w:after="40"/>
      </w:pPr>
      <w:r>
        <w:t>The Texas Historical Commission marker records an April 5, 1951 City Council discussion and the episode in which two Black youths walked onto Muny and authorities allowed them to complete their round.</w:t>
      </w:r>
    </w:p>
    <w:p>
      <w:pPr>
        <w:pStyle w:val="ListBullet"/>
        <w:spacing w:after="40"/>
      </w:pPr>
      <w:r>
        <w:t>The National Register nomination describes the decisive events as occurring in late 1950 and early 1951 and concludes, with supporting scholarly research, that Muny was the first municipal course in the former Confederate states to desegregate.</w:t>
      </w:r>
    </w:p>
    <w:p>
      <w:pPr>
        <w:pStyle w:val="ListBullet"/>
        <w:spacing w:after="40"/>
      </w:pPr>
      <w:r>
        <w:t>Because sources compress the chronology differently, AustinGolf should not force the breakthrough into a single exact date unless a future primary-source pass resolves it.</w:t>
      </w:r>
    </w:p>
    <w:p>
      <w:r>
        <w:rPr>
          <w:b w:val="0"/>
          <w:i w:val="0"/>
        </w:rPr>
        <w:t>Preferred formulation:</w:t>
      </w:r>
    </w:p>
    <w:p>
      <w:pPr>
        <w:ind w:left="432" w:right="288"/>
      </w:pPr>
      <w:r>
        <w:rPr>
          <w:b/>
          <w:i/>
        </w:rPr>
        <w:t>In late 1950 and early 1951, Lions Municipal became the first municipal golf course in the former Confederate South to desegregate, according to the historical research supporting its National Register nomination.</w:t>
      </w:r>
    </w:p>
    <w:p>
      <w:r>
        <w:rPr>
          <w:b w:val="0"/>
          <w:i w:val="0"/>
        </w:rPr>
        <w:t>Acceptable alternative when more caution is desired:</w:t>
      </w:r>
    </w:p>
    <w:p>
      <w:pPr>
        <w:ind w:left="432" w:right="288"/>
      </w:pPr>
      <w:r>
        <w:rPr>
          <w:b/>
          <w:i/>
        </w:rPr>
        <w:t>Around 1950–51, Lions became one of the earliest—and according to substantial historical scholarship, the first—municipal golf courses in the former Confederate South to integrate.</w:t>
      </w:r>
    </w:p>
    <w:p>
      <w:r>
        <w:rPr>
          <w:b w:val="0"/>
          <w:i w:val="0"/>
        </w:rPr>
        <w:t>Avoid triumphalist shorthand suggesting Austin was uniformly progressive. The story includes segregation, exclusion, civic debate, and eventual change.</w:t>
      </w:r>
    </w:p>
    <w:p>
      <w:pPr>
        <w:pStyle w:val="Heading1"/>
      </w:pPr>
      <w:r>
        <w:t>6. Architecture and Course Evolution — Locked Distinction</w:t>
      </w:r>
    </w:p>
    <w:p>
      <w:r>
        <w:rPr>
          <w:b w:val="0"/>
          <w:i w:val="0"/>
        </w:rPr>
        <w:t>The Guide must not reduce Lions to an architect-name badge.</w:t>
      </w:r>
    </w:p>
    <w:p>
      <w:pPr>
        <w:pStyle w:val="ListBullet"/>
        <w:spacing w:after="40"/>
      </w:pPr>
      <w:r>
        <w:t>The National Register documentation identifies Austin Lions Club member B.F. Rowe as the designer of the original course.</w:t>
      </w:r>
    </w:p>
    <w:p>
      <w:pPr>
        <w:pStyle w:val="ListBullet"/>
        <w:spacing w:after="40"/>
      </w:pPr>
      <w:r>
        <w:t>A.W. Tillinghast visited Lions as part of his PGA consulting work in December 1936.</w:t>
      </w:r>
    </w:p>
    <w:p>
      <w:pPr>
        <w:pStyle w:val="ListBullet"/>
        <w:spacing w:after="40"/>
      </w:pPr>
      <w:r>
        <w:t>The nomination documents recommendations involving tees and greens on specific holes and further course improvements supported by WPA funds and labor in 1937–39.</w:t>
      </w:r>
    </w:p>
    <w:p>
      <w:pPr>
        <w:pStyle w:val="ListBullet"/>
        <w:spacing w:after="40"/>
      </w:pPr>
      <w:r>
        <w:t>The course changed over subsequent decades. Its editorial significance is continuity through evolution, not untouched architectural purity.</w:t>
      </w:r>
    </w:p>
    <w:p>
      <w:r>
        <w:rPr>
          <w:b w:val="0"/>
          <w:i w:val="0"/>
        </w:rPr>
        <w:t>Approved interpretation:</w:t>
      </w:r>
    </w:p>
    <w:p>
      <w:pPr>
        <w:ind w:left="432" w:right="288"/>
      </w:pPr>
      <w:r>
        <w:rPr>
          <w:b/>
          <w:i/>
        </w:rPr>
        <w:t>Muny is an evolved municipal landscape, not a preserved single-architect composition.</w:t>
      </w:r>
    </w:p>
    <w:p>
      <w:r>
        <w:rPr>
          <w:b w:val="0"/>
          <w:i w:val="0"/>
        </w:rPr>
        <w:t>Prohibited shorthand:</w:t>
      </w:r>
    </w:p>
    <w:p>
      <w:pPr>
        <w:ind w:left="432" w:right="288"/>
      </w:pPr>
      <w:r>
        <w:rPr>
          <w:b/>
          <w:i/>
        </w:rPr>
        <w:t>A.W. Tillinghast designed Lions Municipal.</w:t>
      </w:r>
    </w:p>
    <w:p>
      <w:r>
        <w:rPr>
          <w:b w:val="0"/>
          <w:i w:val="0"/>
        </w:rPr>
        <w:t>If Tillinghast appears in a headline, label, or callout, his role must be described as consultation / contribution / recommendations, not sole original design.</w:t>
      </w:r>
    </w:p>
    <w:p>
      <w:pPr>
        <w:pStyle w:val="Heading1"/>
      </w:pPr>
      <w:r>
        <w:t>7. Public-Golf and Municipal History</w:t>
      </w:r>
    </w:p>
    <w:p>
      <w:pPr>
        <w:pStyle w:val="ListBullet"/>
        <w:spacing w:after="40"/>
      </w:pPr>
      <w:r>
        <w:t>Lions opened in 1924 as Austin’s first public/municipal golf course.</w:t>
      </w:r>
    </w:p>
    <w:p>
      <w:pPr>
        <w:pStyle w:val="ListBullet"/>
        <w:spacing w:after="40"/>
      </w:pPr>
      <w:r>
        <w:t>The Lions Club’s association leased University of Texas land in the Brackenridge Tract.</w:t>
      </w:r>
    </w:p>
    <w:p>
      <w:pPr>
        <w:pStyle w:val="ListBullet"/>
        <w:spacing w:after="40"/>
      </w:pPr>
      <w:r>
        <w:t>The facility began as nine holes and expanded to 18.</w:t>
      </w:r>
    </w:p>
    <w:p>
      <w:pPr>
        <w:pStyle w:val="ListBullet"/>
        <w:spacing w:after="40"/>
      </w:pPr>
      <w:r>
        <w:t>The City of Austin assumed the lease/operation in 1936.</w:t>
      </w:r>
    </w:p>
    <w:p>
      <w:r>
        <w:rPr>
          <w:b w:val="0"/>
          <w:i w:val="0"/>
        </w:rPr>
        <w:t>Editorial significance: “municipal” is not merely an operating classification here. Public golf is part of the course’s identity and part of the civic story the Guide is explaining.</w:t>
      </w:r>
    </w:p>
    <w:p>
      <w:pPr>
        <w:pStyle w:val="Heading1"/>
      </w:pPr>
      <w:r>
        <w:t>8. Firecracker and Living Golf Tradition</w:t>
      </w:r>
    </w:p>
    <w:p>
      <w:pPr>
        <w:pStyle w:val="ListBullet"/>
        <w:spacing w:after="40"/>
      </w:pPr>
      <w:r>
        <w:t>Current City of Austin material describes the Firecracker Open as a 54-hole amateur stroke-play tournament held over Independence Day weekend and says it has been a tradition since 1946.</w:t>
      </w:r>
    </w:p>
    <w:p>
      <w:pPr>
        <w:pStyle w:val="ListBullet"/>
        <w:spacing w:after="40"/>
      </w:pPr>
      <w:r>
        <w:t>The same 2026 City material says nearly 400 golfers participate through qualifying and the main event.</w:t>
      </w:r>
    </w:p>
    <w:p>
      <w:pPr>
        <w:pStyle w:val="ListBullet"/>
        <w:spacing w:after="40"/>
      </w:pPr>
      <w:r>
        <w:t>GolfATX identifies the Firecracker as Texas’ oldest amateur tournament.</w:t>
      </w:r>
    </w:p>
    <w:p>
      <w:pPr>
        <w:pStyle w:val="ListBullet"/>
        <w:spacing w:after="40"/>
      </w:pPr>
      <w:r>
        <w:t>City and National Register material connect Lions to notable golfers including Ben Hogan, Byron Nelson, Sandra Haynie, Tom Kite and Ben Crenshaw.</w:t>
      </w:r>
    </w:p>
    <w:p>
      <w:r>
        <w:rPr>
          <w:b w:val="0"/>
          <w:i w:val="0"/>
        </w:rPr>
        <w:t>Date conflict note: the 2016 National Register nomination says the Firecracker had been held every July since 1945, while current City material says the tradition began in 1946. For current publication, use the City’s 1946 date unless a dedicated tournament-history pass resolves the discrepancy.</w:t>
      </w:r>
    </w:p>
    <w:p>
      <w:r>
        <w:rPr>
          <w:b w:val="0"/>
          <w:i w:val="0"/>
        </w:rPr>
        <w:t>Editorial purpose: this section prevents the Guide from treating Muny as a historical site where golf merely happens. The competitive and community golf tradition continued.</w:t>
      </w:r>
    </w:p>
    <w:p>
      <w:pPr>
        <w:pStyle w:val="Heading1"/>
      </w:pPr>
      <w:r>
        <w:t>9. Preservation and Land Context</w:t>
      </w:r>
    </w:p>
    <w:p>
      <w:pPr>
        <w:pStyle w:val="ListBullet"/>
        <w:spacing w:after="40"/>
      </w:pPr>
      <w:r>
        <w:t>The course occupies University of Texas-owned Brackenridge Tract land.</w:t>
      </w:r>
    </w:p>
    <w:p>
      <w:pPr>
        <w:pStyle w:val="ListBullet"/>
        <w:spacing w:after="40"/>
      </w:pPr>
      <w:r>
        <w:t>The City has operated Lions under lease arrangements.</w:t>
      </w:r>
    </w:p>
    <w:p>
      <w:pPr>
        <w:pStyle w:val="ListBullet"/>
        <w:spacing w:after="40"/>
      </w:pPr>
      <w:r>
        <w:t>The City’s Save Historic Muny District remains active in 2026, demonstrating that preservation work remains a live civic matter.</w:t>
      </w:r>
    </w:p>
    <w:p>
      <w:pPr>
        <w:pStyle w:val="ListBullet"/>
        <w:spacing w:after="40"/>
      </w:pPr>
      <w:r>
        <w:t>Historical City records extended the lease beyond May 2020 on a month-to-month basis; later City documentation described five months’ minimum notification of termination.</w:t>
      </w:r>
    </w:p>
    <w:p>
      <w:r>
        <w:rPr>
          <w:b w:val="0"/>
          <w:i w:val="0"/>
        </w:rPr>
        <w:t>Publication caution: do not assert that the long-term land disposition has been permanently resolved unless a new authoritative source establishes that fact.</w:t>
      </w:r>
    </w:p>
    <w:p>
      <w:r>
        <w:rPr>
          <w:b w:val="0"/>
          <w:i w:val="0"/>
        </w:rPr>
        <w:t>The Guide may explain why the land has generated long-running preservation efforts, but it should not become advocacy copy or predict the outcome.</w:t>
      </w:r>
    </w:p>
    <w:p>
      <w:pPr>
        <w:pStyle w:val="Heading1"/>
      </w:pPr>
      <w:r>
        <w:t>10. Current Golfer Utility — What May Be Used</w:t>
      </w:r>
    </w:p>
    <w:p>
      <w:pPr>
        <w:pStyle w:val="ListBullet"/>
        <w:spacing w:after="40"/>
      </w:pPr>
      <w:r>
        <w:t>Current City/GolfATX page: Lions is an operating public course at 2901 Enfield Road.</w:t>
      </w:r>
    </w:p>
    <w:p>
      <w:pPr>
        <w:pStyle w:val="ListBullet"/>
        <w:spacing w:after="40"/>
      </w:pPr>
      <w:r>
        <w:t>GolfATX publishes current reservation and tee-time procedures.</w:t>
      </w:r>
    </w:p>
    <w:p>
      <w:pPr>
        <w:pStyle w:val="ListBullet"/>
        <w:spacing w:after="40"/>
      </w:pPr>
      <w:r>
        <w:t>Practice facilities currently include an irons-only driving range and putting greens.</w:t>
      </w:r>
    </w:p>
    <w:p>
      <w:pPr>
        <w:pStyle w:val="ListBullet"/>
        <w:spacing w:after="40"/>
      </w:pPr>
      <w:r>
        <w:t>GolfATX provides current course fees, scorecard, rules, maintenance information, directions, and course photos.</w:t>
      </w:r>
    </w:p>
    <w:p>
      <w:r>
        <w:rPr>
          <w:b w:val="0"/>
          <w:i w:val="0"/>
        </w:rPr>
        <w:t>Volatility rule: prefer linking to GolfATX for current prices, tee-time availability, maintenance closures, and other rapidly changing operational details rather than copying them into long-lived Guide prose.</w:t>
      </w:r>
    </w:p>
    <w:p>
      <w:r>
        <w:rPr>
          <w:b w:val="0"/>
          <w:i w:val="0"/>
        </w:rPr>
        <w:t>The Course Page remains the canonical AustinGolf structured decision-support destination for tees, access, facilities, and other maintained course facts.</w:t>
      </w:r>
    </w:p>
    <w:p>
      <w:pPr>
        <w:pStyle w:val="Heading1"/>
      </w:pPr>
      <w:r>
        <w:t>11. Understanding the Golf — Evidence Boundary</w:t>
      </w:r>
    </w:p>
    <w:p>
      <w:r>
        <w:rPr>
          <w:b w:val="0"/>
          <w:i w:val="0"/>
        </w:rPr>
        <w:t>AustinGolf may explain documented course structure, historical routing evolution, verified characteristics, and architectural context. It must not write as though AustinGolf has played Lions.</w:t>
      </w:r>
    </w:p>
    <w:p>
      <w:r>
        <w:rPr>
          <w:b w:val="0"/>
          <w:i w:val="0"/>
        </w:rPr>
        <w:t>Do not publish as researched Guide claims:</w:t>
      </w:r>
    </w:p>
    <w:p>
      <w:pPr>
        <w:pStyle w:val="ListBullet"/>
        <w:spacing w:after="40"/>
      </w:pPr>
      <w:r>
        <w:t>current green speed, firmness, grain or condition</w:t>
      </w:r>
    </w:p>
    <w:p>
      <w:pPr>
        <w:pStyle w:val="ListBullet"/>
        <w:spacing w:after="40"/>
      </w:pPr>
      <w:r>
        <w:t>pace of play</w:t>
      </w:r>
    </w:p>
    <w:p>
      <w:pPr>
        <w:pStyle w:val="ListBullet"/>
        <w:spacing w:after="40"/>
      </w:pPr>
      <w:r>
        <w:t>service quality</w:t>
      </w:r>
    </w:p>
    <w:p>
      <w:pPr>
        <w:pStyle w:val="ListBullet"/>
        <w:spacing w:after="40"/>
      </w:pPr>
      <w:r>
        <w:t>current bunker or turf condition</w:t>
      </w:r>
    </w:p>
    <w:p>
      <w:pPr>
        <w:pStyle w:val="ListBullet"/>
        <w:spacing w:after="40"/>
      </w:pPr>
      <w:r>
        <w:t>how difficult the course feels to play</w:t>
      </w:r>
    </w:p>
    <w:p>
      <w:pPr>
        <w:pStyle w:val="ListBullet"/>
        <w:spacing w:after="40"/>
      </w:pPr>
      <w:r>
        <w:t>favorite / best / signature holes as AustinGolf judgment</w:t>
      </w:r>
    </w:p>
    <w:p>
      <w:pPr>
        <w:pStyle w:val="ListBullet"/>
        <w:spacing w:after="40"/>
      </w:pPr>
      <w:r>
        <w:t>value for money</w:t>
      </w:r>
    </w:p>
    <w:p>
      <w:pPr>
        <w:pStyle w:val="ListBullet"/>
        <w:spacing w:after="40"/>
      </w:pPr>
      <w:r>
        <w:t>whether Lions is a must-play</w:t>
      </w:r>
    </w:p>
    <w:p>
      <w:pPr>
        <w:pStyle w:val="ListBullet"/>
        <w:spacing w:after="40"/>
      </w:pPr>
      <w:r>
        <w:t>current walking feel or experiential atmosphere unless independently verified as a factual characteristic</w:t>
      </w:r>
    </w:p>
    <w:p>
      <w:r>
        <w:rPr>
          <w:b w:val="0"/>
          <w:i w:val="0"/>
        </w:rPr>
        <w:t>Historical sources may identify historically notable holes or documented architectural changes, but that does not authorize AustinGolf to convert them into firsthand strategy advice.</w:t>
      </w:r>
    </w:p>
    <w:p>
      <w:pPr>
        <w:pStyle w:val="Heading1"/>
      </w:pPr>
      <w:r>
        <w:t>12. Prohibited / Unsupported Shortcuts</w:t>
      </w:r>
    </w:p>
    <w:p>
      <w:pPr>
        <w:pStyle w:val="ListBullet"/>
        <w:spacing w:after="40"/>
      </w:pPr>
      <w:r>
        <w:t>“Tillinghast-designed Lions Municipal” as a simple architect attribution.</w:t>
      </w:r>
    </w:p>
    <w:p>
      <w:pPr>
        <w:pStyle w:val="ListBullet"/>
        <w:spacing w:after="40"/>
      </w:pPr>
      <w:r>
        <w:t>“One of Austin’s best courses” or equivalent ranking language.</w:t>
      </w:r>
    </w:p>
    <w:p>
      <w:pPr>
        <w:pStyle w:val="ListBullet"/>
        <w:spacing w:after="40"/>
      </w:pPr>
      <w:r>
        <w:t>Current-condition claims without current firsthand/authoritative evidence.</w:t>
      </w:r>
    </w:p>
    <w:p>
      <w:pPr>
        <w:pStyle w:val="ListBullet"/>
        <w:spacing w:after="40"/>
      </w:pPr>
      <w:r>
        <w:t>Generic praise such as “charming,” “hidden gem,” “must-play,” or “challenging for all skill levels” unless the specific statement is evidence-backed and useful.</w:t>
      </w:r>
    </w:p>
    <w:p>
      <w:pPr>
        <w:pStyle w:val="ListBullet"/>
        <w:spacing w:after="40"/>
      </w:pPr>
      <w:r>
        <w:t>A single exact desegregation date presented without acknowledging the late-1950 / early-1951 chronology.</w:t>
      </w:r>
    </w:p>
    <w:p>
      <w:pPr>
        <w:pStyle w:val="ListBullet"/>
        <w:spacing w:after="40"/>
      </w:pPr>
      <w:r>
        <w:t>A permanent-resolution claim about the Brackenridge land/lease situation.</w:t>
      </w:r>
    </w:p>
    <w:p>
      <w:pPr>
        <w:pStyle w:val="ListBullet"/>
        <w:spacing w:after="40"/>
      </w:pPr>
      <w:r>
        <w:t>Any statement implying AustinGolf has played Lions.</w:t>
      </w:r>
    </w:p>
    <w:p>
      <w:pPr>
        <w:pStyle w:val="ListBullet"/>
        <w:spacing w:after="40"/>
      </w:pPr>
      <w:r>
        <w:t>Unverified signature-hole declarations or hole-by-hole strategy advice.</w:t>
      </w:r>
    </w:p>
    <w:p>
      <w:pPr>
        <w:pStyle w:val="ListBullet"/>
        <w:spacing w:after="40"/>
      </w:pPr>
      <w:r>
        <w:t>Current pricing or tee-time availability copied into the Guide as durable facts.</w:t>
      </w:r>
    </w:p>
    <w:p>
      <w:pPr>
        <w:pStyle w:val="Heading1"/>
      </w:pPr>
      <w:r>
        <w:t>13. Locked Narrative Architecture for the Reference Guide</w:t>
      </w:r>
    </w:p>
    <w:p>
      <w:r>
        <w:rPr>
          <w:b w:val="0"/>
          <w:i w:val="0"/>
        </w:rPr>
        <w:t>This sequence is evidence-backed and approved for Lions. It is not a universal Course Guide template.</w:t>
      </w:r>
    </w:p>
    <w:p>
      <w:pPr>
        <w:pStyle w:val="ListNumber"/>
        <w:spacing w:after="40"/>
      </w:pPr>
      <w:r>
        <w:t>Opening — Why Muny matters</w:t>
      </w:r>
    </w:p>
    <w:p>
      <w:pPr>
        <w:pStyle w:val="ListNumber"/>
        <w:spacing w:after="40"/>
      </w:pPr>
      <w:r>
        <w:t>Austin gets a public golf course</w:t>
      </w:r>
    </w:p>
    <w:p>
      <w:pPr>
        <w:pStyle w:val="ListNumber"/>
        <w:spacing w:after="40"/>
      </w:pPr>
      <w:r>
        <w:t>A golf course that evolved</w:t>
      </w:r>
    </w:p>
    <w:p>
      <w:pPr>
        <w:pStyle w:val="ListNumber"/>
        <w:spacing w:after="40"/>
      </w:pPr>
      <w:r>
        <w:t>When “public” didn’t mean everyone</w:t>
      </w:r>
    </w:p>
    <w:p>
      <w:pPr>
        <w:pStyle w:val="ListNumber"/>
        <w:spacing w:after="40"/>
      </w:pPr>
      <w:r>
        <w:t>The golf never stopped mattering</w:t>
      </w:r>
    </w:p>
    <w:p>
      <w:pPr>
        <w:pStyle w:val="ListNumber"/>
        <w:spacing w:after="40"/>
      </w:pPr>
      <w:r>
        <w:t>Understanding the golf</w:t>
      </w:r>
    </w:p>
    <w:p>
      <w:pPr>
        <w:pStyle w:val="ListNumber"/>
        <w:spacing w:after="40"/>
      </w:pPr>
      <w:r>
        <w:t>Why Muny still matters</w:t>
      </w:r>
    </w:p>
    <w:p>
      <w:pPr>
        <w:pStyle w:val="ListNumber"/>
        <w:spacing w:after="40"/>
      </w:pPr>
      <w:r>
        <w:t>Before you go</w:t>
      </w:r>
    </w:p>
    <w:p>
      <w:pPr>
        <w:pStyle w:val="ListNumber"/>
        <w:spacing w:after="40"/>
      </w:pPr>
      <w:r>
        <w:t>Guide Notes &amp; Sources</w:t>
      </w:r>
    </w:p>
    <w:p>
      <w:pPr>
        <w:pStyle w:val="ListNumber"/>
        <w:spacing w:after="40"/>
      </w:pPr>
      <w:r>
        <w:t>Continue Exploring</w:t>
      </w:r>
    </w:p>
    <w:p>
      <w:r>
        <w:rPr>
          <w:b w:val="0"/>
          <w:i w:val="0"/>
        </w:rPr>
        <w:t>The opening should establish the locked thesis rather than begin with a fact dump.</w:t>
      </w:r>
    </w:p>
    <w:p>
      <w:r>
        <w:rPr>
          <w:b w:val="0"/>
          <w:i w:val="0"/>
        </w:rPr>
        <w:t>The civil-rights section should be substantial and sober. The architecture section should explain evolution rather than chase architect prestige. After the civil-rights section, return explicitly to golf so the Guide preserves the course as a living golf product.</w:t>
      </w:r>
    </w:p>
    <w:p>
      <w:pPr>
        <w:pStyle w:val="Heading1"/>
      </w:pPr>
      <w:r>
        <w:t>14. Guide / Review Boundary</w:t>
      </w:r>
    </w:p>
    <w:p>
      <w:pPr>
        <w:ind w:left="432" w:right="288"/>
      </w:pPr>
      <w:r>
        <w:rPr>
          <w:b/>
          <w:i/>
        </w:rPr>
        <w:t>Course Page = Choose    |    Course Guide = Understand &amp; Prepare    |    AustinGolf Review = Firsthand Evaluate</w:t>
      </w:r>
    </w:p>
    <w:p>
      <w:r>
        <w:rPr>
          <w:b w:val="0"/>
          <w:i w:val="0"/>
        </w:rPr>
        <w:t>The Lions Guide is researched editorial. It may interpret evidence but must not manufacture experience.</w:t>
      </w:r>
    </w:p>
    <w:p>
      <w:r>
        <w:rPr>
          <w:b w:val="0"/>
          <w:i w:val="0"/>
        </w:rPr>
        <w:t>A future AustinGolf Review, created only after firsthand play, may address present-day feel, conditions, strategy, service, value, favorite holes, and AustinGolf judgment. It should remain a separate content product and route.</w:t>
      </w:r>
    </w:p>
    <w:p>
      <w:pPr>
        <w:pStyle w:val="Heading1"/>
      </w:pPr>
      <w:r>
        <w:t>15. Media Status</w:t>
      </w:r>
    </w:p>
    <w:p>
      <w:r>
        <w:rPr>
          <w:b w:val="0"/>
          <w:i w:val="0"/>
        </w:rPr>
        <w:t>No verified Lions imagery has been supplied to the AustinGolf implementation package yet.</w:t>
      </w:r>
    </w:p>
    <w:p>
      <w:r>
        <w:rPr>
          <w:b w:val="0"/>
          <w:i w:val="0"/>
        </w:rPr>
        <w:t>Therefore V1 may ship text-only rather than fill documentary positions with synthetic or unverified images.</w:t>
      </w:r>
    </w:p>
    <w:p>
      <w:r>
        <w:rPr>
          <w:b w:val="0"/>
          <w:i w:val="0"/>
        </w:rPr>
        <w:t>Potential future media sources identified by research include official GolfATX course photos and historical photographs/maps contained in or referenced by the National Register documentation. Rights and reuse status must be checked before AustinGolf republishes any external image.</w:t>
      </w:r>
    </w:p>
    <w:p>
      <w:r>
        <w:rPr>
          <w:b w:val="0"/>
          <w:i w:val="0"/>
        </w:rPr>
        <w:t>Synthetic imagery must never masquerade as documentary evidence of Lions or its civil-rights history.</w:t>
      </w:r>
    </w:p>
    <w:p>
      <w:pPr>
        <w:pStyle w:val="Heading1"/>
      </w:pPr>
      <w:r>
        <w:t>16. Research Saturation and Remaining Open Items</w:t>
      </w:r>
    </w:p>
    <w:p>
      <w:r>
        <w:rPr>
          <w:b w:val="0"/>
          <w:i w:val="0"/>
        </w:rPr>
        <w:t>Research saturation status: sufficient to draft and implement the reference Guide within the boundaries above.</w:t>
      </w:r>
    </w:p>
    <w:p>
      <w:r>
        <w:rPr>
          <w:b w:val="0"/>
          <w:i w:val="0"/>
        </w:rPr>
        <w:t>The following are not blockers, but remain candidates for future refinement:</w:t>
      </w:r>
    </w:p>
    <w:p>
      <w:pPr>
        <w:pStyle w:val="ListBullet"/>
        <w:spacing w:after="40"/>
      </w:pPr>
      <w:r>
        <w:t>A dedicated primary-source pass could further tighten the exact desegregation chronology.</w:t>
      </w:r>
    </w:p>
    <w:p>
      <w:pPr>
        <w:pStyle w:val="ListBullet"/>
        <w:spacing w:after="40"/>
      </w:pPr>
      <w:r>
        <w:t>A dedicated Firecracker-history pass could reconcile the 1945 vs. 1946 start-date discrepancy.</w:t>
      </w:r>
    </w:p>
    <w:p>
      <w:pPr>
        <w:pStyle w:val="ListBullet"/>
        <w:spacing w:after="40"/>
      </w:pPr>
      <w:r>
        <w:t>A new authoritative land/lease check should precede any future claim that the long-term disposition has changed or been permanently resolved.</w:t>
      </w:r>
    </w:p>
    <w:p>
      <w:pPr>
        <w:pStyle w:val="ListBullet"/>
        <w:spacing w:after="40"/>
      </w:pPr>
      <w:r>
        <w:t>Firsthand AustinGolf play is required before experiential Review claims are added.</w:t>
      </w:r>
    </w:p>
    <w:p>
      <w:pPr>
        <w:pStyle w:val="ListBullet"/>
        <w:spacing w:after="40"/>
      </w:pPr>
      <w:r>
        <w:t>Verified/licensed imagery remains a separate content-acquisition task.</w:t>
      </w:r>
    </w:p>
    <w:p>
      <w:pPr>
        <w:pStyle w:val="Heading1"/>
      </w:pPr>
      <w:r>
        <w:t>17. Approved Source Record</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tcPr>
          <w:p>
            <w:pPr>
              <w:spacing w:after="0"/>
            </w:pPr>
            <w:r>
              <w:rPr>
                <w:sz w:val="14"/>
              </w:rPr>
              <w:t>ID</w:t>
            </w:r>
          </w:p>
        </w:tc>
        <w:tc>
          <w:tcPr>
            <w:tcW w:type="dxa" w:w="2016"/>
            <w:vAlign w:val="top"/>
          </w:tcPr>
          <w:p>
            <w:pPr>
              <w:spacing w:after="0"/>
            </w:pPr>
            <w:r>
              <w:rPr>
                <w:sz w:val="14"/>
              </w:rPr>
              <w:t>Source</w:t>
            </w:r>
          </w:p>
        </w:tc>
        <w:tc>
          <w:tcPr>
            <w:tcW w:type="dxa" w:w="2016"/>
            <w:vAlign w:val="top"/>
          </w:tcPr>
          <w:p>
            <w:pPr>
              <w:spacing w:after="0"/>
            </w:pPr>
            <w:r>
              <w:rPr>
                <w:sz w:val="14"/>
              </w:rPr>
              <w:t>Class</w:t>
            </w:r>
          </w:p>
        </w:tc>
        <w:tc>
          <w:tcPr>
            <w:tcW w:type="dxa" w:w="2016"/>
            <w:vAlign w:val="top"/>
          </w:tcPr>
          <w:p>
            <w:pPr>
              <w:spacing w:after="0"/>
            </w:pPr>
            <w:r>
              <w:rPr>
                <w:sz w:val="14"/>
              </w:rPr>
              <w:t>Approved use</w:t>
            </w:r>
          </w:p>
        </w:tc>
        <w:tc>
          <w:tcPr>
            <w:tcW w:type="dxa" w:w="2016"/>
            <w:vAlign w:val="top"/>
          </w:tcPr>
          <w:p>
            <w:pPr>
              <w:spacing w:after="0"/>
            </w:pPr>
            <w:r>
              <w:rPr>
                <w:sz w:val="14"/>
              </w:rPr>
              <w:t>URL</w:t>
            </w:r>
          </w:p>
        </w:tc>
      </w:tr>
      <w:tr>
        <w:tc>
          <w:tcPr>
            <w:tcW w:type="dxa" w:w="2016"/>
            <w:vAlign w:val="top"/>
          </w:tcPr>
          <w:p>
            <w:pPr>
              <w:spacing w:after="0"/>
            </w:pPr>
            <w:r>
              <w:rPr>
                <w:sz w:val="14"/>
              </w:rPr>
              <w:t>S1</w:t>
            </w:r>
          </w:p>
        </w:tc>
        <w:tc>
          <w:tcPr>
            <w:tcW w:type="dxa" w:w="2016"/>
            <w:vAlign w:val="top"/>
          </w:tcPr>
          <w:p>
            <w:pPr>
              <w:spacing w:after="0"/>
            </w:pPr>
            <w:r>
              <w:rPr>
                <w:sz w:val="14"/>
              </w:rPr>
              <w:t>City of Austin / GolfATX — Lions Municipal Course</w:t>
            </w:r>
          </w:p>
        </w:tc>
        <w:tc>
          <w:tcPr>
            <w:tcW w:type="dxa" w:w="2016"/>
            <w:vAlign w:val="top"/>
          </w:tcPr>
          <w:p>
            <w:pPr>
              <w:spacing w:after="0"/>
            </w:pPr>
            <w:r>
              <w:rPr>
                <w:sz w:val="14"/>
              </w:rPr>
              <w:t>Primary / official</w:t>
            </w:r>
          </w:p>
        </w:tc>
        <w:tc>
          <w:tcPr>
            <w:tcW w:type="dxa" w:w="2016"/>
            <w:vAlign w:val="top"/>
          </w:tcPr>
          <w:p>
            <w:pPr>
              <w:spacing w:after="0"/>
            </w:pPr>
            <w:r>
              <w:rPr>
                <w:sz w:val="14"/>
              </w:rPr>
              <w:t>Current operation, 1924 opening, first public course, nine-to-18-hole evolution, 1936 City transfer, notable golfers, Firecracker characterization, reservations, practice facilities, address and current operational links.</w:t>
            </w:r>
          </w:p>
        </w:tc>
        <w:tc>
          <w:tcPr>
            <w:tcW w:type="dxa" w:w="2016"/>
            <w:vAlign w:val="top"/>
          </w:tcPr>
          <w:p>
            <w:pPr>
              <w:spacing w:after="0"/>
            </w:pPr>
            <w:r>
              <w:rPr>
                <w:sz w:val="14"/>
              </w:rPr>
              <w:t>https://www.austintexas.gov/my-mm/golfatx/lions-municipal-course</w:t>
            </w:r>
          </w:p>
        </w:tc>
      </w:tr>
      <w:tr>
        <w:tc>
          <w:tcPr>
            <w:tcW w:type="dxa" w:w="2016"/>
            <w:vAlign w:val="top"/>
          </w:tcPr>
          <w:p>
            <w:pPr>
              <w:spacing w:after="0"/>
            </w:pPr>
            <w:r>
              <w:rPr>
                <w:sz w:val="14"/>
              </w:rPr>
              <w:t>S2</w:t>
            </w:r>
          </w:p>
        </w:tc>
        <w:tc>
          <w:tcPr>
            <w:tcW w:type="dxa" w:w="2016"/>
            <w:vAlign w:val="top"/>
          </w:tcPr>
          <w:p>
            <w:pPr>
              <w:spacing w:after="0"/>
            </w:pPr>
            <w:r>
              <w:rPr>
                <w:sz w:val="14"/>
              </w:rPr>
              <w:t>Texas Historical Commission — Desegregation of Lions Municipal Golf Course historical marker</w:t>
            </w:r>
          </w:p>
        </w:tc>
        <w:tc>
          <w:tcPr>
            <w:tcW w:type="dxa" w:w="2016"/>
            <w:vAlign w:val="top"/>
          </w:tcPr>
          <w:p>
            <w:pPr>
              <w:spacing w:after="0"/>
            </w:pPr>
            <w:r>
              <w:rPr>
                <w:sz w:val="14"/>
              </w:rPr>
              <w:t>Primary / official</w:t>
            </w:r>
          </w:p>
        </w:tc>
        <w:tc>
          <w:tcPr>
            <w:tcW w:type="dxa" w:w="2016"/>
            <w:vAlign w:val="top"/>
          </w:tcPr>
          <w:p>
            <w:pPr>
              <w:spacing w:after="0"/>
            </w:pPr>
            <w:r>
              <w:rPr>
                <w:sz w:val="14"/>
              </w:rPr>
              <w:t>Segregation, Clarksville relationship, Black builders/caddies, 1950–51 civic chronology, two youths’ round, de facto integration, historical significance.</w:t>
            </w:r>
          </w:p>
        </w:tc>
        <w:tc>
          <w:tcPr>
            <w:tcW w:type="dxa" w:w="2016"/>
            <w:vAlign w:val="top"/>
          </w:tcPr>
          <w:p>
            <w:pPr>
              <w:spacing w:after="0"/>
            </w:pPr>
            <w:r>
              <w:rPr>
                <w:sz w:val="14"/>
              </w:rPr>
              <w:t>https://atlas.thc.texas.gov/Details/5507015772</w:t>
            </w:r>
          </w:p>
        </w:tc>
      </w:tr>
      <w:tr>
        <w:tc>
          <w:tcPr>
            <w:tcW w:type="dxa" w:w="2016"/>
            <w:vAlign w:val="top"/>
          </w:tcPr>
          <w:p>
            <w:pPr>
              <w:spacing w:after="0"/>
            </w:pPr>
            <w:r>
              <w:rPr>
                <w:sz w:val="14"/>
              </w:rPr>
              <w:t>S3</w:t>
            </w:r>
          </w:p>
        </w:tc>
        <w:tc>
          <w:tcPr>
            <w:tcW w:type="dxa" w:w="2016"/>
            <w:vAlign w:val="top"/>
          </w:tcPr>
          <w:p>
            <w:pPr>
              <w:spacing w:after="0"/>
            </w:pPr>
            <w:r>
              <w:rPr>
                <w:sz w:val="14"/>
              </w:rPr>
              <w:t>National Register of Historic Places Registration Form — Lions Municipal Golf Course, Ref. 16000354</w:t>
            </w:r>
          </w:p>
        </w:tc>
        <w:tc>
          <w:tcPr>
            <w:tcW w:type="dxa" w:w="2016"/>
            <w:vAlign w:val="top"/>
          </w:tcPr>
          <w:p>
            <w:pPr>
              <w:spacing w:after="0"/>
            </w:pPr>
            <w:r>
              <w:rPr>
                <w:sz w:val="14"/>
              </w:rPr>
              <w:t>Primary historical dossier</w:t>
            </w:r>
          </w:p>
        </w:tc>
        <w:tc>
          <w:tcPr>
            <w:tcW w:type="dxa" w:w="2016"/>
            <w:vAlign w:val="top"/>
          </w:tcPr>
          <w:p>
            <w:pPr>
              <w:spacing w:after="0"/>
            </w:pPr>
            <w:r>
              <w:rPr>
                <w:sz w:val="14"/>
              </w:rPr>
              <w:t>Course history, B.F. Rowe, Tillinghast consultation, WPA improvements, detailed desegregation research, bibliography, historic course evolution, notable golfers and Firecracker history.</w:t>
            </w:r>
          </w:p>
        </w:tc>
        <w:tc>
          <w:tcPr>
            <w:tcW w:type="dxa" w:w="2016"/>
            <w:vAlign w:val="top"/>
          </w:tcPr>
          <w:p>
            <w:pPr>
              <w:spacing w:after="0"/>
            </w:pPr>
            <w:r>
              <w:rPr>
                <w:sz w:val="14"/>
              </w:rPr>
              <w:t>https://atlas.thc.texas.gov/NR/pdfs/16000354/16000354.pdf</w:t>
            </w:r>
          </w:p>
        </w:tc>
      </w:tr>
      <w:tr>
        <w:tc>
          <w:tcPr>
            <w:tcW w:type="dxa" w:w="2016"/>
            <w:vAlign w:val="top"/>
          </w:tcPr>
          <w:p>
            <w:pPr>
              <w:spacing w:after="0"/>
            </w:pPr>
            <w:r>
              <w:rPr>
                <w:sz w:val="14"/>
              </w:rPr>
              <w:t>S4</w:t>
            </w:r>
          </w:p>
        </w:tc>
        <w:tc>
          <w:tcPr>
            <w:tcW w:type="dxa" w:w="2016"/>
            <w:vAlign w:val="top"/>
          </w:tcPr>
          <w:p>
            <w:pPr>
              <w:spacing w:after="0"/>
            </w:pPr>
            <w:r>
              <w:rPr>
                <w:sz w:val="14"/>
              </w:rPr>
              <w:t>Texas Historical Commission — National Register listing record</w:t>
            </w:r>
          </w:p>
        </w:tc>
        <w:tc>
          <w:tcPr>
            <w:tcW w:type="dxa" w:w="2016"/>
            <w:vAlign w:val="top"/>
          </w:tcPr>
          <w:p>
            <w:pPr>
              <w:spacing w:after="0"/>
            </w:pPr>
            <w:r>
              <w:rPr>
                <w:sz w:val="14"/>
              </w:rPr>
              <w:t>Primary / official</w:t>
            </w:r>
          </w:p>
        </w:tc>
        <w:tc>
          <w:tcPr>
            <w:tcW w:type="dxa" w:w="2016"/>
            <w:vAlign w:val="top"/>
          </w:tcPr>
          <w:p>
            <w:pPr>
              <w:spacing w:after="0"/>
            </w:pPr>
            <w:r>
              <w:rPr>
                <w:sz w:val="14"/>
              </w:rPr>
              <w:t>National Register listing date July 7, 2016 and reference number.</w:t>
            </w:r>
          </w:p>
        </w:tc>
        <w:tc>
          <w:tcPr>
            <w:tcW w:type="dxa" w:w="2016"/>
            <w:vAlign w:val="top"/>
          </w:tcPr>
          <w:p>
            <w:pPr>
              <w:spacing w:after="0"/>
            </w:pPr>
            <w:r>
              <w:rPr>
                <w:sz w:val="14"/>
              </w:rPr>
              <w:t>https://atlas.thc.texas.gov/Details/2016000354</w:t>
            </w:r>
          </w:p>
        </w:tc>
      </w:tr>
      <w:tr>
        <w:tc>
          <w:tcPr>
            <w:tcW w:type="dxa" w:w="2016"/>
            <w:vAlign w:val="top"/>
          </w:tcPr>
          <w:p>
            <w:pPr>
              <w:spacing w:after="0"/>
            </w:pPr>
            <w:r>
              <w:rPr>
                <w:sz w:val="14"/>
              </w:rPr>
              <w:t>S5</w:t>
            </w:r>
          </w:p>
        </w:tc>
        <w:tc>
          <w:tcPr>
            <w:tcW w:type="dxa" w:w="2016"/>
            <w:vAlign w:val="top"/>
          </w:tcPr>
          <w:p>
            <w:pPr>
              <w:spacing w:after="0"/>
            </w:pPr>
            <w:r>
              <w:rPr>
                <w:sz w:val="14"/>
              </w:rPr>
              <w:t>City of Austin — 2026 Firecracker Open article</w:t>
            </w:r>
          </w:p>
        </w:tc>
        <w:tc>
          <w:tcPr>
            <w:tcW w:type="dxa" w:w="2016"/>
            <w:vAlign w:val="top"/>
          </w:tcPr>
          <w:p>
            <w:pPr>
              <w:spacing w:after="0"/>
            </w:pPr>
            <w:r>
              <w:rPr>
                <w:sz w:val="14"/>
              </w:rPr>
              <w:t>Primary / official / current</w:t>
            </w:r>
          </w:p>
        </w:tc>
        <w:tc>
          <w:tcPr>
            <w:tcW w:type="dxa" w:w="2016"/>
            <w:vAlign w:val="top"/>
          </w:tcPr>
          <w:p>
            <w:pPr>
              <w:spacing w:after="0"/>
            </w:pPr>
            <w:r>
              <w:rPr>
                <w:sz w:val="14"/>
              </w:rPr>
              <w:t>54-hole amateur stroke play, Independence Day tradition, current City start date of 1946, nearly 400 participants.</w:t>
            </w:r>
          </w:p>
        </w:tc>
        <w:tc>
          <w:tcPr>
            <w:tcW w:type="dxa" w:w="2016"/>
            <w:vAlign w:val="top"/>
          </w:tcPr>
          <w:p>
            <w:pPr>
              <w:spacing w:after="0"/>
            </w:pPr>
            <w:r>
              <w:rPr>
                <w:sz w:val="14"/>
              </w:rPr>
              <w:t>https://www.austintexas.gov/parks/parks/july-tradition-historic-firecracker-open-returns-lions-municipal-golf-course</w:t>
            </w:r>
          </w:p>
        </w:tc>
      </w:tr>
      <w:tr>
        <w:tc>
          <w:tcPr>
            <w:tcW w:type="dxa" w:w="2016"/>
            <w:vAlign w:val="top"/>
          </w:tcPr>
          <w:p>
            <w:pPr>
              <w:spacing w:after="0"/>
            </w:pPr>
            <w:r>
              <w:rPr>
                <w:sz w:val="14"/>
              </w:rPr>
              <w:t>S6</w:t>
            </w:r>
          </w:p>
        </w:tc>
        <w:tc>
          <w:tcPr>
            <w:tcW w:type="dxa" w:w="2016"/>
            <w:vAlign w:val="top"/>
          </w:tcPr>
          <w:p>
            <w:pPr>
              <w:spacing w:after="0"/>
            </w:pPr>
            <w:r>
              <w:rPr>
                <w:sz w:val="14"/>
              </w:rPr>
              <w:t>City of Austin — Save Historic Muny District 2026 meetings</w:t>
            </w:r>
          </w:p>
        </w:tc>
        <w:tc>
          <w:tcPr>
            <w:tcW w:type="dxa" w:w="2016"/>
            <w:vAlign w:val="top"/>
          </w:tcPr>
          <w:p>
            <w:pPr>
              <w:spacing w:after="0"/>
            </w:pPr>
            <w:r>
              <w:rPr>
                <w:sz w:val="14"/>
              </w:rPr>
              <w:t>Primary / official / current</w:t>
            </w:r>
          </w:p>
        </w:tc>
        <w:tc>
          <w:tcPr>
            <w:tcW w:type="dxa" w:w="2016"/>
            <w:vAlign w:val="top"/>
          </w:tcPr>
          <w:p>
            <w:pPr>
              <w:spacing w:after="0"/>
            </w:pPr>
            <w:r>
              <w:rPr>
                <w:sz w:val="14"/>
              </w:rPr>
              <w:t>Evidence that the preservation district remains active in 2026.</w:t>
            </w:r>
          </w:p>
        </w:tc>
        <w:tc>
          <w:tcPr>
            <w:tcW w:type="dxa" w:w="2016"/>
            <w:vAlign w:val="top"/>
          </w:tcPr>
          <w:p>
            <w:pPr>
              <w:spacing w:after="0"/>
            </w:pPr>
            <w:r>
              <w:rPr>
                <w:sz w:val="14"/>
              </w:rPr>
              <w:t>https://www.austintexas.gov/boards-commissions/meetings/158_1</w:t>
            </w:r>
          </w:p>
        </w:tc>
      </w:tr>
      <w:tr>
        <w:tc>
          <w:tcPr>
            <w:tcW w:type="dxa" w:w="2016"/>
            <w:vAlign w:val="top"/>
          </w:tcPr>
          <w:p>
            <w:pPr>
              <w:spacing w:after="0"/>
            </w:pPr>
            <w:r>
              <w:rPr>
                <w:sz w:val="14"/>
              </w:rPr>
              <w:t>S7</w:t>
            </w:r>
          </w:p>
        </w:tc>
        <w:tc>
          <w:tcPr>
            <w:tcW w:type="dxa" w:w="2016"/>
            <w:vAlign w:val="top"/>
          </w:tcPr>
          <w:p>
            <w:pPr>
              <w:spacing w:after="0"/>
            </w:pPr>
            <w:r>
              <w:rPr>
                <w:sz w:val="14"/>
              </w:rPr>
              <w:t>The Cultural Landscape Foundation — Lions Municipal Golf Course</w:t>
            </w:r>
          </w:p>
        </w:tc>
        <w:tc>
          <w:tcPr>
            <w:tcW w:type="dxa" w:w="2016"/>
            <w:vAlign w:val="top"/>
          </w:tcPr>
          <w:p>
            <w:pPr>
              <w:spacing w:after="0"/>
            </w:pPr>
            <w:r>
              <w:rPr>
                <w:sz w:val="14"/>
              </w:rPr>
              <w:t>Supporting research</w:t>
            </w:r>
          </w:p>
        </w:tc>
        <w:tc>
          <w:tcPr>
            <w:tcW w:type="dxa" w:w="2016"/>
            <w:vAlign w:val="top"/>
          </w:tcPr>
          <w:p>
            <w:pPr>
              <w:spacing w:after="0"/>
            </w:pPr>
            <w:r>
              <w:rPr>
                <w:sz w:val="14"/>
              </w:rPr>
              <w:t>Corroborates B.F. Rowe design attribution, Tillinghast’s 1936 contribution, 141-acre Brackenridge context, and preservation significance.</w:t>
            </w:r>
          </w:p>
        </w:tc>
        <w:tc>
          <w:tcPr>
            <w:tcW w:type="dxa" w:w="2016"/>
            <w:vAlign w:val="top"/>
          </w:tcPr>
          <w:p>
            <w:pPr>
              <w:spacing w:after="0"/>
            </w:pPr>
            <w:r>
              <w:rPr>
                <w:sz w:val="14"/>
              </w:rPr>
              <w:t>https://www.tclf.org/sites/default/files/microsites/landslide2018/lions-golf-course.html</w:t>
            </w:r>
          </w:p>
        </w:tc>
      </w:tr>
      <w:tr>
        <w:tc>
          <w:tcPr>
            <w:tcW w:type="dxa" w:w="2016"/>
            <w:vAlign w:val="top"/>
          </w:tcPr>
          <w:p>
            <w:pPr>
              <w:spacing w:after="0"/>
            </w:pPr>
            <w:r>
              <w:rPr>
                <w:sz w:val="14"/>
              </w:rPr>
              <w:t>S8</w:t>
            </w:r>
          </w:p>
        </w:tc>
        <w:tc>
          <w:tcPr>
            <w:tcW w:type="dxa" w:w="2016"/>
            <w:vAlign w:val="top"/>
          </w:tcPr>
          <w:p>
            <w:pPr>
              <w:spacing w:after="0"/>
            </w:pPr>
            <w:r>
              <w:rPr>
                <w:sz w:val="14"/>
              </w:rPr>
              <w:t>City/UT lease history — 2020 City Council record</w:t>
            </w:r>
          </w:p>
        </w:tc>
        <w:tc>
          <w:tcPr>
            <w:tcW w:type="dxa" w:w="2016"/>
            <w:vAlign w:val="top"/>
          </w:tcPr>
          <w:p>
            <w:pPr>
              <w:spacing w:after="0"/>
            </w:pPr>
            <w:r>
              <w:rPr>
                <w:sz w:val="14"/>
              </w:rPr>
              <w:t>Primary / official historical</w:t>
            </w:r>
          </w:p>
        </w:tc>
        <w:tc>
          <w:tcPr>
            <w:tcW w:type="dxa" w:w="2016"/>
            <w:vAlign w:val="top"/>
          </w:tcPr>
          <w:p>
            <w:pPr>
              <w:spacing w:after="0"/>
            </w:pPr>
            <w:r>
              <w:rPr>
                <w:sz w:val="14"/>
              </w:rPr>
              <w:t>Month-to-month extension beyond May 25, 2020. Use as lease-history context, not proof of permanent current disposition.</w:t>
            </w:r>
          </w:p>
        </w:tc>
        <w:tc>
          <w:tcPr>
            <w:tcW w:type="dxa" w:w="2016"/>
            <w:vAlign w:val="top"/>
          </w:tcPr>
          <w:p>
            <w:pPr>
              <w:spacing w:after="0"/>
            </w:pPr>
            <w:r>
              <w:rPr>
                <w:sz w:val="14"/>
              </w:rPr>
              <w:t>https://austintx.new.swagit.com/videos/45804/0/</w:t>
            </w:r>
          </w:p>
        </w:tc>
      </w:tr>
    </w:tbl>
    <w:p>
      <w:pPr>
        <w:pStyle w:val="Heading1"/>
      </w:pPr>
      <w:r>
        <w:t>18. Implementation Handoff</w:t>
      </w:r>
    </w:p>
    <w:p>
      <w:r>
        <w:rPr>
          <w:b w:val="0"/>
          <w:i w:val="0"/>
        </w:rPr>
        <w:t>For Course Guide Run 2, attach this evidence package together with AustinGolf Course Guide Build Brief v1.0.</w:t>
      </w:r>
    </w:p>
    <w:p>
      <w:r>
        <w:rPr>
          <w:b w:val="0"/>
          <w:i w:val="0"/>
        </w:rPr>
        <w:t>The Build Brief defines the reusable product architecture. This Evidence Package defines the Lions editorial evidence boundary.</w:t>
      </w:r>
    </w:p>
    <w:p>
      <w:r>
        <w:rPr>
          <w:b w:val="0"/>
          <w:i w:val="0"/>
        </w:rPr>
        <w:t>Implementation may draft Lions Guide prose from this approved evidence set, but should not invent additional historical claims, firsthand observations, or imagery.</w:t>
      </w:r>
    </w:p>
    <w:p>
      <w:r>
        <w:rPr>
          <w:b w:val="0"/>
          <w:i w:val="0"/>
        </w:rPr>
        <w:t>The public Guide should not expose this internal Evidence Ledger mechanically. Public sourcing should remain readable and editorially appropriate.</w:t>
      </w:r>
    </w:p>
    <w:p>
      <w:pPr>
        <w:pStyle w:val="Heading1"/>
      </w:pPr>
      <w:r>
        <w:t>19. Version Control</w:t>
      </w:r>
    </w:p>
    <w:p>
      <w:r>
        <w:rPr>
          <w:b w:val="0"/>
          <w:i w:val="0"/>
        </w:rPr>
        <w:t>Status: LOCKED v1.0</w:t>
      </w:r>
    </w:p>
    <w:p>
      <w:r>
        <w:rPr>
          <w:b w:val="0"/>
          <w:i w:val="0"/>
        </w:rPr>
        <w:t>Date locked: 25 August 2026</w:t>
      </w:r>
    </w:p>
    <w:p>
      <w:r>
        <w:rPr>
          <w:b w:val="0"/>
          <w:i w:val="0"/>
        </w:rPr>
        <w:t>Role: Historical master-folder artifact and authoritative Lions evidence package for the Course Guide v1.0 implementation cycle.</w:t>
      </w:r>
    </w:p>
    <w:p>
      <w:r>
        <w:rPr>
          <w:b w:val="0"/>
          <w:i w:val="0"/>
        </w:rPr>
        <w:t>Do not overwrite this file to revise evidence. Material changes should produce a versioned successor (v1.1, v2.0, etc.) so AustinGolf retains the research and decision history.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AustinGolf · Lions Municipal Course Guide Evidence Package v1.0 · LOCKED · 25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