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Work Sans" w:hAnsi="Work Sans"/>
          <w:b/>
          <w:b/>
          <w:color w:val="45A59D"/>
          <w:sz w:val="44"/>
        </w:rPr>
      </w:pPr>
      <w:r>
        <w:rPr>
          <w:rFonts w:ascii="Work Sans" w:hAnsi="Work Sans"/>
          <w:b/>
          <w:color w:val="45A59D"/>
          <w:sz w:val="44"/>
        </w:rPr>
        <w:t>Fiche création d’Eotp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  <w:sz w:val="24"/>
        </w:rPr>
        <w:t>EOTP</w:t>
      </w:r>
      <w:r>
        <w:rPr>
          <w:rStyle w:val="Policepardfaut"/>
          <w:rFonts w:ascii="Work Sans" w:hAnsi="Work Sans"/>
          <w:sz w:val="24"/>
        </w:rPr>
        <w:t xml:space="preserve"> : ${pfi} </w:t>
      </w: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Descriptif du projet</w:t>
      </w:r>
    </w:p>
    <w:p>
      <w:pPr>
        <w:sectPr>
          <w:headerReference w:type="default" r:id="rId2"/>
          <w:type w:val="nextPage"/>
          <w:pgSz w:w="11906" w:h="16838"/>
          <w:pgMar w:left="1417" w:right="1417" w:header="708" w:top="1417" w:footer="0" w:bottom="708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Acronyme </w:t>
        <w:br/>
      </w:r>
      <w:r>
        <w:rPr>
          <w:rStyle w:val="Policepardfaut"/>
          <w:rFonts w:ascii="Work Sans" w:hAnsi="Work Sans"/>
          <w:b w:val="false"/>
          <w:bCs w:val="false"/>
        </w:rPr>
        <w:t>${acronym}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Intitulé de l’activité</w:t>
      </w:r>
      <w:r>
        <w:rPr>
          <w:rStyle w:val="Policepardfaut"/>
          <w:rFonts w:ascii="Work Sans" w:hAnsi="Work Sans"/>
        </w:rPr>
        <w:t xml:space="preserve"> : </w:t>
        <w:br/>
        <w:t>${label}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Laboratoire</w:t>
      </w:r>
      <w:r>
        <w:rPr>
          <w:rStyle w:val="Policepardfaut"/>
          <w:rFonts w:ascii="Work Sans" w:hAnsi="Work Sans"/>
        </w:rPr>
        <w:t xml:space="preserve"> : </w:t>
        <w:br/>
        <w:t>${laboratoire}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Responsable Scientifique</w:t>
      </w:r>
      <w:r>
        <w:rPr>
          <w:rStyle w:val="Policepardfaut"/>
          <w:rFonts w:ascii="Work Sans" w:hAnsi="Work Sans"/>
          <w:b w:val="false"/>
          <w:bCs w:val="false"/>
        </w:rPr>
        <w:t xml:space="preserve"> </w:t>
        <w:br/>
        <w:t>${responsable-scientifique}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Type de projet</w:t>
      </w:r>
      <w:r>
        <w:rPr>
          <w:rStyle w:val="Policepardfaut"/>
          <w:rFonts w:ascii="Work Sans" w:hAnsi="Work Sans"/>
        </w:rPr>
        <w:t xml:space="preserve"> </w:t>
        <w:br/>
        <w:t>${type}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Etablissement porteur</w:t>
        <w:br/>
      </w:r>
      <w:r>
        <w:rPr>
          <w:rStyle w:val="Policepardfaut"/>
          <w:rFonts w:ascii="Work Sans" w:hAnsi="Work Sans"/>
          <w:b w:val="false"/>
          <w:bCs w:val="false"/>
        </w:rPr>
        <w:t>${composante-responsable}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pacing w:before="0" w:after="0"/>
        <w:rPr>
          <w:rFonts w:ascii="Work Sans" w:hAnsi="Work Sans"/>
          <w:b/>
          <w:b/>
        </w:rPr>
      </w:pPr>
      <w:r>
        <w:rPr>
          <w:rFonts w:ascii="Work Sans" w:hAnsi="Work Sans"/>
          <w:b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  <w:b/>
          <w:color w:val="424A54"/>
        </w:rPr>
        <w:t>Durée</w:t>
      </w:r>
      <w:r>
        <w:rPr/>
        <w:commentReference w:id="0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Date de début </w:t>
      </w:r>
      <w:r>
        <w:rPr>
          <w:rStyle w:val="Policepardfaut"/>
          <w:rFonts w:ascii="Work Sans" w:hAnsi="Work Sans"/>
          <w:b w:val="false"/>
          <w:bCs w:val="false"/>
        </w:rPr>
        <w:t>${debut}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Date de fin </w:t>
      </w:r>
      <w:r>
        <w:rPr>
          <w:rStyle w:val="Policepardfaut"/>
          <w:rFonts w:ascii="Work Sans" w:hAnsi="Work Sans"/>
          <w:b w:val="false"/>
          <w:bCs w:val="false"/>
        </w:rPr>
        <w:t>${fin}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Eligibilité des dépenses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Début </w:t>
      </w:r>
      <w:r>
        <w:rPr>
          <w:rStyle w:val="Policepardfaut"/>
          <w:rFonts w:ascii="Work Sans" w:hAnsi="Work Sans"/>
          <w:b w:val="false"/>
          <w:bCs w:val="false"/>
        </w:rPr>
        <w:t>${</w:t>
      </w:r>
      <w:r>
        <w:rPr>
          <w:rStyle w:val="Policepardfau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jalon-debut-d-eligibilite-des-depenses</w:t>
      </w:r>
      <w:r>
        <w:rPr>
          <w:rStyle w:val="Policepardfaut"/>
          <w:rFonts w:ascii="Work Sans" w:hAnsi="Work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Fin</w:t>
      </w:r>
      <w:r>
        <w:rPr>
          <w:rStyle w:val="Policepardfaut"/>
          <w:rFonts w:ascii="Work Sans" w:hAnsi="Work Sans"/>
        </w:rPr>
        <w:t xml:space="preserve"> </w:t>
      </w:r>
      <w:r>
        <w:rPr>
          <w:rStyle w:val="Policepardfaut"/>
          <w:rFonts w:ascii="Work Sans" w:hAnsi="Work Sans"/>
          <w:b w:val="false"/>
          <w:bCs w:val="false"/>
        </w:rPr>
        <w:t>${</w:t>
      </w:r>
      <w:r>
        <w:rPr>
          <w:rStyle w:val="Policepardfaut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jalon-fin-d-eligibilite-des-depenses</w:t>
      </w:r>
      <w:r>
        <w:rPr>
          <w:rStyle w:val="Policepardfaut"/>
          <w:rFonts w:ascii="Work Sans" w:hAnsi="Work Sans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  <w:b/>
          <w:b/>
          <w:color w:val="424A54"/>
        </w:rPr>
      </w:pPr>
      <w:r>
        <w:rPr>
          <w:rFonts w:ascii="Work Sans" w:hAnsi="Work Sans"/>
          <w:b/>
          <w:color w:val="424A54"/>
        </w:rPr>
        <w:t>Financement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>Financeur </w:t>
      </w:r>
      <w:r>
        <w:rPr>
          <w:rStyle w:val="Policepardfaut"/>
          <w:rFonts w:ascii="Work Sans" w:hAnsi="Work Sans"/>
        </w:rPr>
        <w:t>:</w:t>
      </w:r>
      <w:r>
        <w:rPr>
          <w:rStyle w:val="Policepardfaut"/>
          <w:rFonts w:ascii="Work Sans" w:hAnsi="Work Sans"/>
        </w:rPr>
        <w:t>${financeur}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  <w:color w:val="424A54"/>
        </w:rPr>
        <w:t xml:space="preserve">Payeur : </w:t>
      </w:r>
      <w:r>
        <w:rPr>
          <w:rStyle w:val="Policepardfaut"/>
          <w:rFonts w:ascii="Work Sans" w:hAnsi="Work Sans"/>
          <w:b/>
          <w:color w:val="424A54"/>
        </w:rPr>
        <w:t>${payeur}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  <w:b/>
          <w:color w:val="424A54"/>
        </w:rPr>
        <w:t>Recettes</w:t>
      </w:r>
      <w:r>
        <w:rPr/>
        <w:commentReference w:id="1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>Investissement</w:t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Fonctionnement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Versements</w:t>
      </w:r>
      <w:r>
        <w:rPr/>
        <w:commentReference w:id="2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tbl>
      <w:tblPr>
        <w:tblW w:w="736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6"/>
        <w:gridCol w:w="5559"/>
      </w:tblGrid>
      <w:tr>
        <w:trPr>
          <w:trHeight w:val="675" w:hRule="atLeast"/>
        </w:trPr>
        <w:tc>
          <w:tcPr>
            <w:tcW w:w="1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keepNext w:val="false"/>
              <w:keepLines w:val="false"/>
              <w:widowControl/>
              <w:suppressLineNumbers/>
              <w:shd w:val="clear" w:fill="auto"/>
              <w:suppressAutoHyphens w:val="false"/>
              <w:overflowPunct w:val="false"/>
              <w:bidi w:val="0"/>
              <w:snapToGrid w:val="true"/>
              <w:spacing w:lineRule="auto" w:line="276" w:before="0" w:after="200"/>
              <w:ind w:left="567" w:right="-5499" w:hanging="0"/>
              <w:jc w:val="left"/>
              <w:rPr/>
            </w:pPr>
            <w:r>
              <w:rPr/>
              <w:t>${versementPrevuMontant}</w:t>
            </w:r>
          </w:p>
        </w:tc>
        <w:tc>
          <w:tcPr>
            <w:tcW w:w="5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keepNext w:val="false"/>
              <w:keepLines w:val="false"/>
              <w:widowControl/>
              <w:suppressLineNumbers/>
              <w:shd w:val="clear" w:fill="auto"/>
              <w:suppressAutoHyphens w:val="false"/>
              <w:overflowPunct w:val="false"/>
              <w:bidi w:val="0"/>
              <w:snapToGrid w:val="true"/>
              <w:spacing w:lineRule="auto" w:line="276" w:before="0" w:after="200"/>
              <w:ind w:left="567" w:right="-5499" w:hanging="0"/>
              <w:jc w:val="left"/>
              <w:rPr/>
            </w:pPr>
            <w:r>
              <w:rPr/>
              <w:t>${versementPrevuDate}</w:t>
            </w:r>
          </w:p>
        </w:tc>
      </w:tr>
    </w:tbl>
    <w:p>
      <w:pPr>
        <w:pStyle w:val="LONormal"/>
        <w:rPr>
          <w:rFonts w:eastAsia="Times New Roman" w:cs="Times New Roman"/>
          <w:color w:val="FF0000"/>
          <w:lang w:eastAsia="fr-FR"/>
        </w:rPr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Reversements</w:t>
      </w:r>
      <w:r>
        <w:rPr/>
        <w:commentReference w:id="3"/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Jalons types reversement </w:t>
      </w: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Identification SIFAC</w:t>
      </w:r>
      <w:r>
        <w:rPr/>
        <w:commentReference w:id="4"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Domaine Fonctionnel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Types de recettes </w:t>
      </w:r>
      <w:r>
        <w:rPr>
          <w:rStyle w:val="Textedelespacerserv"/>
        </w:rPr>
        <w:t>Choisissez un élément.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PFI Souches </w:t>
      </w:r>
      <w:r>
        <w:rPr>
          <w:rStyle w:val="Textedelespacerserv"/>
        </w:rPr>
        <w:t>Choisissez un élément.</w:t>
      </w:r>
    </w:p>
    <w:p>
      <w:pPr>
        <w:pStyle w:val="LONormal"/>
        <w:rPr/>
      </w:pPr>
      <w:r>
        <w:rPr>
          <w:rStyle w:val="Policepardfaut"/>
          <w:rFonts w:ascii="Work Sans" w:hAnsi="Work Sans"/>
          <w:b/>
        </w:rPr>
        <w:t xml:space="preserve">Fonds </w:t>
      </w:r>
      <w:r>
        <w:rPr>
          <w:rStyle w:val="Textedelespacerserv"/>
        </w:rPr>
        <w:t>Choisissez un élément.</w:t>
      </w:r>
    </w:p>
    <w:p>
      <w:pPr>
        <w:pStyle w:val="LONormal"/>
        <w:rPr>
          <w:rFonts w:ascii="Work Sans" w:hAnsi="Work Sans"/>
          <w:b/>
          <w:b/>
        </w:rPr>
      </w:pPr>
      <w:r>
        <w:rPr>
          <w:rFonts w:ascii="Work Sans" w:hAnsi="Work Sans"/>
          <w:b/>
        </w:rPr>
        <w:t>Gestionnaire de Workflow</w:t>
      </w: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>
          <w:rFonts w:ascii="Work Sans" w:hAnsi="Work Sans"/>
        </w:rPr>
      </w:pPr>
      <w:r>
        <w:rPr>
          <w:rFonts w:ascii="Work Sans" w:hAnsi="Work Sans"/>
        </w:rPr>
        <w:t>TVA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rPr>
          <w:rFonts w:ascii="Work Sans" w:hAnsi="Work Sans"/>
        </w:rPr>
      </w:pPr>
      <w:r>
        <w:rPr>
          <w:rFonts w:ascii="Work Sans" w:hAnsi="Work Sans"/>
        </w:rPr>
        <w:t xml:space="preserve">TVA RECETTES </w:t>
      </w:r>
    </w:p>
    <w:p>
      <w:pPr>
        <w:pStyle w:val="LONormal"/>
        <w:rPr/>
      </w:pPr>
      <w:r>
        <w:rPr>
          <w:rStyle w:val="Policepardfaut"/>
          <w:rFonts w:ascii="Work Sans" w:hAnsi="Work Sans"/>
        </w:rPr>
        <w:t>TVA DEPENSES</w:t>
      </w:r>
      <w:r>
        <w:rPr/>
        <w:commentReference w:id="5"/>
      </w:r>
      <w:r>
        <w:rPr>
          <w:rStyle w:val="Policepardfaut"/>
          <w:rFonts w:ascii="Work Sans" w:hAnsi="Work Sans"/>
        </w:rPr>
        <w:t xml:space="preserve"> 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cols w:num="2" w:space="708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LONormal"/>
        <w:shd w:val="clear" w:fill="45A59D"/>
        <w:rPr/>
      </w:pPr>
      <w:r>
        <w:rPr>
          <w:rStyle w:val="Policepardfaut"/>
          <w:rFonts w:ascii="Work Sans" w:hAnsi="Work Sans"/>
        </w:rPr>
        <w:t>Commentaires</w:t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keepNext w:val="false"/>
        <w:keepLines w:val="false"/>
        <w:pageBreakBefore w:val="false"/>
        <w:widowControl/>
        <w:shd w:val="clear" w:fill="auto"/>
        <w:suppressAutoHyphens w:val="false"/>
        <w:overflowPunct w:val="false"/>
        <w:bidi w:val="0"/>
        <w:snapToGrid w:val="true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keepNext w:val="false"/>
        <w:keepLines w:val="false"/>
        <w:pageBreakBefore w:val="false"/>
        <w:widowControl/>
        <w:shd w:val="clear" w:fill="auto"/>
        <w:suppressAutoHyphens w:val="false"/>
        <w:overflowPunct w:val="false"/>
        <w:bidi w:val="0"/>
        <w:snapToGrid w:val="true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p>
      <w:pPr>
        <w:pStyle w:val="Normal"/>
        <w:keepNext w:val="false"/>
        <w:keepLines w:val="false"/>
        <w:pageBreakBefore w:val="false"/>
        <w:widowControl/>
        <w:shd w:val="clear" w:fill="auto"/>
        <w:suppressAutoHyphens w:val="false"/>
        <w:overflowPunct w:val="false"/>
        <w:bidi w:val="0"/>
        <w:snapToGrid w:val="true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417" w:right="1417" w:header="708" w:top="1417" w:footer="0" w:bottom="708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600" w:charSpace="36864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aetitia Lopes-Brule" w:date="2018-11-16T15:41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Attention lors de la fusion les dates sont mises au format américain</w:t>
      </w:r>
    </w:p>
  </w:comment>
  <w:comment w:id="1" w:author="Laetitia Lopes-Brule" w:date="2018-11-16T15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2" w:author="Laetitia Lopes-Brule" w:date="2018-11-16T15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Pas exportable sur le meme fichier que le reste des informations</w:t>
      </w:r>
    </w:p>
  </w:comment>
  <w:comment w:id="3" w:author="Laetitia Lopes-Brule" w:date="2018-11-29T15:57:00Z" w:initials="">
    <w:p>
      <w:r>
        <w:rPr>
          <w:rFonts w:ascii="Work Sans" w:hAnsi="Work Sans" w:eastAsia="DejaVu Sans" w:cs="DejaVu Sans"/>
          <w:sz w:val="24"/>
          <w:szCs w:val="24"/>
          <w:lang w:val="en-US" w:eastAsia="en-US" w:bidi="en-US"/>
        </w:rPr>
        <w:t>ou activités en fonction de la réponse ticket redmine 18371</w:t>
      </w:r>
    </w:p>
  </w:comment>
  <w:comment w:id="4" w:author="Laetitia Lopes-Brule" w:date="2018-11-29T15:54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  <w:comment w:id="5" w:author="Laetitia Lopes-Brule" w:date="2018-11-29T15:53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Saisi par Tours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ork Sans"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Style w:val="Policepardfaut"/>
        <w:lang w:eastAsia="fr-FR"/>
      </w:rPr>
    </w:pPr>
    <w:r>
      <w:rPr>
        <w:lang w:eastAsia="fr-FR"/>
      </w:rPr>
      <w:drawing>
        <wp:anchor behindDoc="1" distT="0" distB="127000" distL="0" distR="0" simplePos="0" locked="0" layoutInCell="1" allowOverlap="1" relativeHeight="3">
          <wp:simplePos x="0" y="0"/>
          <wp:positionH relativeFrom="column">
            <wp:posOffset>-899160</wp:posOffset>
          </wp:positionH>
          <wp:positionV relativeFrom="paragraph">
            <wp:posOffset>-456565</wp:posOffset>
          </wp:positionV>
          <wp:extent cx="4000500" cy="666750"/>
          <wp:effectExtent l="0" t="0" r="0" b="0"/>
          <wp:wrapNone/>
          <wp:docPr id="1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shd w:val="clear" w:fill="auto"/>
      <w:suppressAutoHyphens w:val="fals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character" w:styleId="Policepardfaut">
    <w:name w:val="Police par défaut"/>
    <w:qFormat/>
    <w:rPr/>
  </w:style>
  <w:style w:type="character" w:styleId="EntteCar">
    <w:name w:val="En-tête Car"/>
    <w:basedOn w:val="Policepardfaut"/>
    <w:qFormat/>
    <w:rPr/>
  </w:style>
  <w:style w:type="character" w:styleId="PieddepageCar">
    <w:name w:val="Pied de page Car"/>
    <w:basedOn w:val="Policepardfaut"/>
    <w:qFormat/>
    <w:rPr/>
  </w:style>
  <w:style w:type="character" w:styleId="TextedebullesCar">
    <w:name w:val="Texte de bulles Car"/>
    <w:basedOn w:val="Policepardfaut"/>
    <w:qFormat/>
    <w:rPr>
      <w:rFonts w:ascii="Tahoma" w:hAnsi="Tahoma" w:cs="Tahoma"/>
      <w:sz w:val="16"/>
      <w:szCs w:val="16"/>
    </w:rPr>
  </w:style>
  <w:style w:type="character" w:styleId="Textedelespacerserv">
    <w:name w:val="Texte de l'espace réservé"/>
    <w:basedOn w:val="Policepardfaut"/>
    <w:qFormat/>
    <w:rPr>
      <w:color w:val="808080"/>
    </w:rPr>
  </w:style>
  <w:style w:type="character" w:styleId="Marquedecommentaire">
    <w:name w:val="Marque de commentaire"/>
    <w:basedOn w:val="Policepardfaut"/>
    <w:qFormat/>
    <w:rPr>
      <w:sz w:val="16"/>
      <w:szCs w:val="16"/>
    </w:rPr>
  </w:style>
  <w:style w:type="character" w:styleId="CommentaireCar">
    <w:name w:val="Commentaire Car"/>
    <w:basedOn w:val="Policepardfaut"/>
    <w:qFormat/>
    <w:rPr>
      <w:sz w:val="20"/>
      <w:szCs w:val="20"/>
    </w:rPr>
  </w:style>
  <w:style w:type="character" w:styleId="ObjetducommentaireCar">
    <w:name w:val="Objet du commentaire Car"/>
    <w:basedOn w:val="CommentaireCar"/>
    <w:qFormat/>
    <w:rPr>
      <w:b/>
      <w:bCs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keepNext w:val="false"/>
      <w:keepLines w:val="false"/>
      <w:pageBreakBefore w:val="false"/>
      <w:widowControl/>
      <w:shd w:val="clear" w:fill="auto"/>
      <w:suppressAutoHyphens w:val="true"/>
      <w:overflowPunct w:val="false"/>
      <w:bidi w:val="0"/>
      <w:snapToGrid w:val="true"/>
      <w:spacing w:lineRule="auto" w:line="276" w:before="0" w:after="200"/>
      <w:jc w:val="left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vertAlign w:val="baseline"/>
      <w:em w:val="none"/>
      <w:lang w:val="fr-FR" w:eastAsia="en-US" w:bidi="ar-SA"/>
    </w:rPr>
  </w:style>
  <w:style w:type="paragraph" w:styleId="Entte">
    <w:name w:val="Header"/>
    <w:basedOn w:val="LONormal"/>
    <w:pPr>
      <w:tabs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Pieddepage">
    <w:name w:val="Footer"/>
    <w:basedOn w:val="LONormal"/>
    <w:pPr>
      <w:tabs>
        <w:tab w:val="center" w:pos="4536" w:leader="none"/>
        <w:tab w:val="right" w:pos="9072" w:leader="none"/>
      </w:tabs>
      <w:suppressAutoHyphens w:val="true"/>
      <w:spacing w:lineRule="auto" w:line="240" w:before="0" w:after="0"/>
    </w:pPr>
    <w:rPr/>
  </w:style>
  <w:style w:type="paragraph" w:styleId="Textedebulles">
    <w:name w:val="Texte de bulles"/>
    <w:basedOn w:val="LONormal"/>
    <w:qFormat/>
    <w:pPr>
      <w:suppressAutoHyphens w:val="true"/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mentaire">
    <w:name w:val="Commentaire"/>
    <w:basedOn w:val="LONormal"/>
    <w:qFormat/>
    <w:pPr>
      <w:suppressAutoHyphens w:val="true"/>
      <w:spacing w:lineRule="auto" w:line="240"/>
    </w:pPr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uppressAutoHyphens w:val="true"/>
    </w:pPr>
    <w:rPr>
      <w:b/>
      <w:bCs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2</Pages>
  <Words>89</Words>
  <Characters>744</Characters>
  <CharactersWithSpaces>807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2018-12-13T09:14:00Z</dcterms:created>
  <dc:creator>Laetitia Lopes-Brule</dc:creator>
  <dc:description/>
  <dc:language>fr-FR</dc:language>
  <cp:lastModifiedBy/>
  <cp:lastPrinted>2018-11-16T14:42:00Z</cp:lastPrinted>
  <dcterms:modified xsi:type="dcterms:W3CDTF">2019-02-27T16:29:19Z</dcterms:modified>
  <cp:revision>15</cp:revision>
  <dc:subject/>
  <dc:title/>
</cp:coreProperties>
</file>