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31" w:rsidRPr="009B67FF" w:rsidRDefault="009823FB" w:rsidP="00982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67FF">
        <w:rPr>
          <w:sz w:val="24"/>
          <w:szCs w:val="24"/>
        </w:rPr>
        <w:t>(a)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90"/>
        <w:gridCol w:w="1691"/>
        <w:gridCol w:w="1690"/>
        <w:gridCol w:w="1691"/>
        <w:gridCol w:w="1691"/>
      </w:tblGrid>
      <w:tr w:rsidR="009823FB" w:rsidRPr="009B67FF" w:rsidTr="0098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Max Iterations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w:r w:rsidRPr="009B67FF">
              <w:rPr>
                <w:sz w:val="24"/>
                <w:szCs w:val="24"/>
              </w:rPr>
              <w:t>E</w:t>
            </w:r>
            <w:r w:rsidRPr="009B67FF">
              <w:rPr>
                <w:sz w:val="24"/>
                <w:szCs w:val="24"/>
                <w:vertAlign w:val="subscript"/>
              </w:rPr>
              <w:t xml:space="preserve">in </w:t>
            </w:r>
          </w:p>
        </w:tc>
        <w:tc>
          <w:tcPr>
            <w:tcW w:w="169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Binary E</w:t>
            </w:r>
            <w:r w:rsidRPr="009B67FF">
              <w:rPr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Binary E</w:t>
            </w:r>
            <w:r w:rsidRPr="009B67FF">
              <w:rPr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Time (s)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10^4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0.586</w:t>
            </w:r>
          </w:p>
        </w:tc>
        <w:tc>
          <w:tcPr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0.309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0.317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0.24</w:t>
            </w:r>
          </w:p>
        </w:tc>
      </w:tr>
      <w:tr w:rsidR="009823FB" w:rsidRPr="009B67FF" w:rsidTr="009823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10^5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0.469</w:t>
            </w:r>
          </w:p>
        </w:tc>
        <w:tc>
          <w:tcPr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0.224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0.207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2.18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10^6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0.436</w:t>
            </w:r>
          </w:p>
        </w:tc>
        <w:tc>
          <w:tcPr>
            <w:tcW w:w="1690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0.151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0.131</w:t>
            </w:r>
          </w:p>
        </w:tc>
        <w:tc>
          <w:tcPr>
            <w:tcW w:w="1691" w:type="dxa"/>
            <w:noWrap/>
            <w:hideMark/>
          </w:tcPr>
          <w:p w:rsidR="009823FB" w:rsidRPr="009B67FF" w:rsidRDefault="009823FB" w:rsidP="009823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21.48</w:t>
            </w:r>
          </w:p>
        </w:tc>
      </w:tr>
    </w:tbl>
    <w:p w:rsidR="009823FB" w:rsidRPr="009B67FF" w:rsidRDefault="009823FB" w:rsidP="009823FB">
      <w:pPr>
        <w:ind w:left="360"/>
        <w:rPr>
          <w:sz w:val="24"/>
          <w:szCs w:val="24"/>
        </w:rPr>
      </w:pPr>
    </w:p>
    <w:p w:rsidR="009823FB" w:rsidRPr="009B67FF" w:rsidRDefault="009823FB" w:rsidP="00F7334C">
      <w:pPr>
        <w:rPr>
          <w:sz w:val="24"/>
          <w:szCs w:val="24"/>
        </w:rPr>
      </w:pPr>
      <w:r w:rsidRPr="009B67FF">
        <w:rPr>
          <w:sz w:val="24"/>
          <w:szCs w:val="24"/>
        </w:rPr>
        <w:t>The logistic regressio</w:t>
      </w:r>
      <w:r w:rsidR="00F7334C" w:rsidRPr="009B67FF">
        <w:rPr>
          <w:sz w:val="24"/>
          <w:szCs w:val="24"/>
        </w:rPr>
        <w:t>n model generalizes well. The E</w:t>
      </w:r>
      <w:r w:rsidRPr="009B67FF">
        <w:rPr>
          <w:sz w:val="24"/>
          <w:szCs w:val="24"/>
          <w:vertAlign w:val="subscript"/>
        </w:rPr>
        <w:t>in</w:t>
      </w:r>
      <w:r w:rsidRPr="009B67FF">
        <w:rPr>
          <w:sz w:val="24"/>
          <w:szCs w:val="24"/>
        </w:rPr>
        <w:t xml:space="preserve"> and E</w:t>
      </w:r>
      <w:r w:rsidRPr="009B67FF">
        <w:rPr>
          <w:sz w:val="24"/>
          <w:szCs w:val="24"/>
          <w:vertAlign w:val="subscript"/>
        </w:rPr>
        <w:t>out</w:t>
      </w:r>
      <w:r w:rsidRPr="009B67FF">
        <w:rPr>
          <w:sz w:val="24"/>
          <w:szCs w:val="24"/>
        </w:rPr>
        <w:t xml:space="preserve"> are consistently very </w:t>
      </w:r>
      <w:r w:rsidRPr="009B67FF">
        <w:rPr>
          <w:sz w:val="24"/>
          <w:szCs w:val="24"/>
        </w:rPr>
        <w:t>similar</w:t>
      </w:r>
      <w:r w:rsidRPr="009B67FF">
        <w:rPr>
          <w:sz w:val="24"/>
          <w:szCs w:val="24"/>
        </w:rPr>
        <w:t xml:space="preserve"> ind</w:t>
      </w:r>
      <w:r w:rsidRPr="009B67FF">
        <w:rPr>
          <w:sz w:val="24"/>
          <w:szCs w:val="24"/>
        </w:rPr>
        <w:t xml:space="preserve">icating that there is enough data </w:t>
      </w:r>
      <w:r w:rsidRPr="009B67FF">
        <w:rPr>
          <w:sz w:val="24"/>
          <w:szCs w:val="24"/>
        </w:rPr>
        <w:t>for learning to occur, at least wit</w:t>
      </w:r>
      <w:r w:rsidRPr="009B67FF">
        <w:rPr>
          <w:sz w:val="24"/>
          <w:szCs w:val="24"/>
        </w:rPr>
        <w:t xml:space="preserve">h this simple model. Increasing </w:t>
      </w:r>
      <w:r w:rsidRPr="009B67FF">
        <w:rPr>
          <w:sz w:val="24"/>
          <w:szCs w:val="24"/>
        </w:rPr>
        <w:t xml:space="preserve">the maximum number of </w:t>
      </w:r>
      <w:r w:rsidRPr="009B67FF">
        <w:rPr>
          <w:sz w:val="24"/>
          <w:szCs w:val="24"/>
        </w:rPr>
        <w:t xml:space="preserve">iterations, at least to up to 10^6, </w:t>
      </w:r>
      <w:r w:rsidRPr="009B67FF">
        <w:rPr>
          <w:sz w:val="24"/>
          <w:szCs w:val="24"/>
        </w:rPr>
        <w:t xml:space="preserve">continues to improve the model's </w:t>
      </w:r>
      <w:r w:rsidRPr="009B67FF">
        <w:rPr>
          <w:sz w:val="24"/>
          <w:szCs w:val="24"/>
        </w:rPr>
        <w:t>performance</w:t>
      </w:r>
      <w:r w:rsidRPr="009B67FF">
        <w:rPr>
          <w:sz w:val="24"/>
          <w:szCs w:val="24"/>
        </w:rPr>
        <w:t>.</w:t>
      </w:r>
    </w:p>
    <w:p w:rsidR="009823FB" w:rsidRPr="009B67FF" w:rsidRDefault="009823FB" w:rsidP="009823FB">
      <w:pPr>
        <w:ind w:left="360"/>
        <w:rPr>
          <w:sz w:val="24"/>
          <w:szCs w:val="24"/>
        </w:rPr>
      </w:pPr>
    </w:p>
    <w:p w:rsidR="009823FB" w:rsidRPr="009B67FF" w:rsidRDefault="009823FB" w:rsidP="009823FB">
      <w:pPr>
        <w:ind w:left="360"/>
        <w:rPr>
          <w:sz w:val="24"/>
          <w:szCs w:val="24"/>
        </w:rPr>
      </w:pPr>
      <w:r w:rsidRPr="009B67FF">
        <w:rPr>
          <w:sz w:val="24"/>
          <w:szCs w:val="24"/>
        </w:rPr>
        <w:t>(b)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0"/>
        <w:gridCol w:w="960"/>
        <w:gridCol w:w="1120"/>
        <w:gridCol w:w="1280"/>
        <w:gridCol w:w="1184"/>
        <w:gridCol w:w="1007"/>
      </w:tblGrid>
      <w:tr w:rsidR="009823FB" w:rsidRPr="009B67FF" w:rsidTr="0098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Learning Rate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E</w:t>
            </w:r>
            <w:r w:rsidRPr="009B67FF">
              <w:rPr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Binary E</w:t>
            </w:r>
            <w:r w:rsidRPr="009B67FF">
              <w:rPr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Binary E</w:t>
            </w:r>
            <w:r w:rsidRPr="009B67FF">
              <w:rPr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Iterations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Time</w:t>
            </w:r>
            <w:r w:rsidR="009B67FF">
              <w:rPr>
                <w:sz w:val="24"/>
                <w:szCs w:val="24"/>
              </w:rPr>
              <w:t xml:space="preserve"> (s)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0.69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22429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0.49</w:t>
            </w:r>
          </w:p>
        </w:tc>
      </w:tr>
      <w:tr w:rsidR="009823FB" w:rsidRPr="009B67FF" w:rsidTr="009823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0.663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2239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0.05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0.487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220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0.01</w:t>
            </w:r>
          </w:p>
        </w:tc>
      </w:tr>
      <w:tr w:rsidR="009823FB" w:rsidRPr="009B67FF" w:rsidTr="009823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0.522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0.003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0.767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0.00299</w:t>
            </w:r>
          </w:p>
        </w:tc>
      </w:tr>
      <w:tr w:rsidR="009823FB" w:rsidRPr="009B67FF" w:rsidTr="009823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0.813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0.00601</w:t>
            </w:r>
          </w:p>
        </w:tc>
      </w:tr>
      <w:tr w:rsidR="009823FB" w:rsidRPr="009B67FF" w:rsidTr="009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7.6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0.822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0.171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446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0.012</w:t>
            </w:r>
          </w:p>
        </w:tc>
      </w:tr>
      <w:tr w:rsidR="009823FB" w:rsidRPr="009B67FF" w:rsidTr="009823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9823FB" w:rsidRPr="009B67FF" w:rsidRDefault="009823FB" w:rsidP="009823FB">
            <w:pPr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7.7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0.408</w:t>
            </w:r>
          </w:p>
        </w:tc>
        <w:tc>
          <w:tcPr>
            <w:tcW w:w="112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0.164</w:t>
            </w:r>
          </w:p>
        </w:tc>
        <w:tc>
          <w:tcPr>
            <w:tcW w:w="128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0.117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1000000</w:t>
            </w:r>
          </w:p>
        </w:tc>
        <w:tc>
          <w:tcPr>
            <w:tcW w:w="960" w:type="dxa"/>
            <w:noWrap/>
            <w:hideMark/>
          </w:tcPr>
          <w:p w:rsidR="009823FB" w:rsidRPr="009B67FF" w:rsidRDefault="009823FB" w:rsidP="0098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67FF">
              <w:rPr>
                <w:sz w:val="24"/>
                <w:szCs w:val="24"/>
              </w:rPr>
              <w:t>22.03</w:t>
            </w:r>
          </w:p>
        </w:tc>
      </w:tr>
    </w:tbl>
    <w:p w:rsidR="000147A8" w:rsidRPr="009B67FF" w:rsidRDefault="000147A8" w:rsidP="000147A8">
      <w:pPr>
        <w:rPr>
          <w:sz w:val="24"/>
          <w:szCs w:val="24"/>
        </w:rPr>
      </w:pPr>
    </w:p>
    <w:p w:rsidR="000147A8" w:rsidRPr="009B67FF" w:rsidRDefault="000147A8" w:rsidP="000147A8">
      <w:pPr>
        <w:rPr>
          <w:sz w:val="24"/>
          <w:szCs w:val="24"/>
        </w:rPr>
      </w:pPr>
      <w:r w:rsidRPr="009B67FF">
        <w:rPr>
          <w:sz w:val="24"/>
          <w:szCs w:val="24"/>
        </w:rPr>
        <w:t>I normalized both the training and testing set to the mean and variance of the training set. This is b</w:t>
      </w:r>
      <w:r w:rsidRPr="009B67FF">
        <w:rPr>
          <w:sz w:val="24"/>
          <w:szCs w:val="24"/>
        </w:rPr>
        <w:t>ecause we never want to include the testing data in training.</w:t>
      </w:r>
    </w:p>
    <w:p w:rsidR="000147A8" w:rsidRPr="009B67FF" w:rsidRDefault="000147A8" w:rsidP="000147A8">
      <w:pPr>
        <w:rPr>
          <w:sz w:val="24"/>
          <w:szCs w:val="24"/>
        </w:rPr>
      </w:pPr>
      <w:r w:rsidRPr="009B67FF">
        <w:rPr>
          <w:sz w:val="24"/>
          <w:szCs w:val="24"/>
        </w:rPr>
        <w:t xml:space="preserve">Normalizing the data increases the performance of the model. Using the same </w:t>
      </w:r>
      <w:r w:rsidR="00F7334C" w:rsidRPr="009B67FF">
        <w:rPr>
          <w:sz w:val="24"/>
          <w:szCs w:val="24"/>
        </w:rPr>
        <w:t>parameters</w:t>
      </w:r>
      <w:r w:rsidRPr="009B67FF">
        <w:rPr>
          <w:sz w:val="24"/>
          <w:szCs w:val="24"/>
        </w:rPr>
        <w:t xml:space="preserve"> without normalized data yields E</w:t>
      </w:r>
      <w:r w:rsidRPr="009B67FF">
        <w:rPr>
          <w:sz w:val="24"/>
          <w:szCs w:val="24"/>
          <w:vertAlign w:val="subscript"/>
        </w:rPr>
        <w:t>in</w:t>
      </w:r>
      <w:r w:rsidRPr="009B67FF">
        <w:rPr>
          <w:sz w:val="24"/>
          <w:szCs w:val="24"/>
        </w:rPr>
        <w:t xml:space="preserve"> and</w:t>
      </w:r>
      <w:r w:rsidRPr="009B67FF">
        <w:rPr>
          <w:sz w:val="24"/>
          <w:szCs w:val="24"/>
        </w:rPr>
        <w:t xml:space="preserve"> E</w:t>
      </w:r>
      <w:r w:rsidRPr="009B67FF">
        <w:rPr>
          <w:sz w:val="24"/>
          <w:szCs w:val="24"/>
          <w:vertAlign w:val="subscript"/>
        </w:rPr>
        <w:t>out</w:t>
      </w:r>
      <w:r w:rsidRPr="009B67FF">
        <w:rPr>
          <w:sz w:val="24"/>
          <w:szCs w:val="24"/>
        </w:rPr>
        <w:t xml:space="preserve"> (binar</w:t>
      </w:r>
      <w:r w:rsidRPr="009B67FF">
        <w:rPr>
          <w:sz w:val="24"/>
          <w:szCs w:val="24"/>
        </w:rPr>
        <w:t>y) approaching random guessing.</w:t>
      </w:r>
    </w:p>
    <w:p w:rsidR="000147A8" w:rsidRDefault="000147A8" w:rsidP="000147A8">
      <w:pPr>
        <w:rPr>
          <w:sz w:val="24"/>
          <w:szCs w:val="24"/>
        </w:rPr>
      </w:pPr>
      <w:r w:rsidRPr="009B67FF">
        <w:rPr>
          <w:sz w:val="24"/>
          <w:szCs w:val="24"/>
        </w:rPr>
        <w:t xml:space="preserve">Changing the learning rate </w:t>
      </w:r>
      <w:r w:rsidR="00F7334C" w:rsidRPr="009B67FF">
        <w:rPr>
          <w:sz w:val="24"/>
          <w:szCs w:val="24"/>
        </w:rPr>
        <w:t>usually</w:t>
      </w:r>
      <w:r w:rsidRPr="009B67FF">
        <w:rPr>
          <w:sz w:val="24"/>
          <w:szCs w:val="24"/>
        </w:rPr>
        <w:t xml:space="preserve"> arrives at the same err</w:t>
      </w:r>
      <w:r w:rsidRPr="009B67FF">
        <w:rPr>
          <w:sz w:val="24"/>
          <w:szCs w:val="24"/>
        </w:rPr>
        <w:t xml:space="preserve">or but just at different rates. </w:t>
      </w:r>
      <w:r w:rsidRPr="009B67FF">
        <w:rPr>
          <w:sz w:val="24"/>
          <w:szCs w:val="24"/>
        </w:rPr>
        <w:t>The smallest learning rate takes &gt; 20000 iterations to arrive at the</w:t>
      </w:r>
      <w:r w:rsidRPr="009B67FF">
        <w:rPr>
          <w:sz w:val="24"/>
          <w:szCs w:val="24"/>
        </w:rPr>
        <w:t xml:space="preserve"> same prediction model as does </w:t>
      </w:r>
      <w:r w:rsidRPr="009B67FF">
        <w:rPr>
          <w:sz w:val="24"/>
          <w:szCs w:val="24"/>
        </w:rPr>
        <w:t>a learning rate of 7 (which takes just 44). Too big of a learning rate becomes c</w:t>
      </w:r>
      <w:r w:rsidRPr="009B67FF">
        <w:rPr>
          <w:sz w:val="24"/>
          <w:szCs w:val="24"/>
        </w:rPr>
        <w:t xml:space="preserve">umbersome very quickly however. </w:t>
      </w:r>
      <w:r w:rsidRPr="009B67FF">
        <w:rPr>
          <w:sz w:val="24"/>
          <w:szCs w:val="24"/>
        </w:rPr>
        <w:t>Increasing the learning rate to 7.6 makes us take 446 iterations and 7.7 makes us max out the number of iterations at 10^6!</w:t>
      </w:r>
    </w:p>
    <w:p w:rsidR="009B67FF" w:rsidRDefault="009B67FF" w:rsidP="000147A8">
      <w:pPr>
        <w:rPr>
          <w:sz w:val="24"/>
          <w:szCs w:val="24"/>
        </w:rPr>
      </w:pPr>
    </w:p>
    <w:p w:rsidR="009B67FF" w:rsidRDefault="009B67FF" w:rsidP="000147A8">
      <w:pPr>
        <w:rPr>
          <w:sz w:val="24"/>
          <w:szCs w:val="24"/>
        </w:rPr>
      </w:pPr>
    </w:p>
    <w:p w:rsidR="009B67FF" w:rsidRDefault="009B67FF" w:rsidP="000147A8">
      <w:pPr>
        <w:rPr>
          <w:sz w:val="24"/>
          <w:szCs w:val="24"/>
        </w:rPr>
      </w:pPr>
    </w:p>
    <w:p w:rsidR="003B0811" w:rsidRDefault="003B0811" w:rsidP="000147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 (c) plot.</w:t>
      </w:r>
      <w:bookmarkStart w:id="0" w:name="_GoBack"/>
      <w:bookmarkEnd w:id="0"/>
    </w:p>
    <w:p w:rsidR="009B67FF" w:rsidRPr="009B67FF" w:rsidRDefault="009B67FF" w:rsidP="000147A8">
      <w:pPr>
        <w:rPr>
          <w:sz w:val="24"/>
          <w:szCs w:val="24"/>
        </w:rPr>
      </w:pPr>
      <w:r w:rsidRPr="009B67FF">
        <w:rPr>
          <w:noProof/>
          <w:sz w:val="24"/>
          <w:szCs w:val="24"/>
        </w:rPr>
        <w:drawing>
          <wp:inline distT="0" distB="0" distL="0" distR="0">
            <wp:extent cx="5852160" cy="4389120"/>
            <wp:effectExtent l="0" t="0" r="0" b="0"/>
            <wp:docPr id="1" name="Picture 1" descr="C:\Users\jd\Documents\intro-to-machine-learning\hw2\q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\Documents\intro-to-machine-learning\hw2\q3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A8" w:rsidRPr="009B67FF" w:rsidRDefault="000147A8" w:rsidP="000147A8">
      <w:pPr>
        <w:rPr>
          <w:sz w:val="24"/>
          <w:szCs w:val="24"/>
        </w:rPr>
      </w:pPr>
    </w:p>
    <w:sectPr w:rsidR="000147A8" w:rsidRPr="009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3DE"/>
    <w:multiLevelType w:val="hybridMultilevel"/>
    <w:tmpl w:val="1244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98"/>
    <w:rsid w:val="000147A8"/>
    <w:rsid w:val="003B0811"/>
    <w:rsid w:val="004508CD"/>
    <w:rsid w:val="00592731"/>
    <w:rsid w:val="009823FB"/>
    <w:rsid w:val="009B67FF"/>
    <w:rsid w:val="00C47798"/>
    <w:rsid w:val="00F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0E56"/>
  <w15:chartTrackingRefBased/>
  <w15:docId w15:val="{879F116B-F5FB-4536-A890-48F9D0F2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FB"/>
    <w:pPr>
      <w:ind w:left="720"/>
      <w:contextualSpacing/>
    </w:pPr>
  </w:style>
  <w:style w:type="table" w:styleId="TableGrid">
    <w:name w:val="Table Grid"/>
    <w:basedOn w:val="TableNormal"/>
    <w:uiPriority w:val="39"/>
    <w:rsid w:val="0098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823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823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823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</dc:creator>
  <cp:keywords/>
  <dc:description/>
  <cp:lastModifiedBy>Peiffer, J.D.</cp:lastModifiedBy>
  <cp:revision>6</cp:revision>
  <cp:lastPrinted>2022-02-24T19:05:00Z</cp:lastPrinted>
  <dcterms:created xsi:type="dcterms:W3CDTF">2022-02-24T17:20:00Z</dcterms:created>
  <dcterms:modified xsi:type="dcterms:W3CDTF">2022-02-24T19:07:00Z</dcterms:modified>
</cp:coreProperties>
</file>