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12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I. Clinical and pathological characteristics of patients and analyzed tumors.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27"/>
        <w:gridCol w:w="1403"/>
        <w:gridCol w:w="1435"/>
        <w:gridCol w:w="1403"/>
      </w:tblGrid>
      <w:tr>
        <w:trPr>
          <w:trHeight w:val="821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Early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49)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Advanced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6)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(N = 55)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Patient Characteristics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59.3 ± 11.5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70.3 ± 10.4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60.5 ± 11.8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(71%)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Staging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Pathologic Stage*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 (64%)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T Category*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(24%)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(84%)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(16%)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(98%)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(2%)</w:t>
            </w:r>
          </w:p>
        </w:tc>
      </w:tr>
      <w:tr>
        <w:trPr>
          <w:trHeight w:val="451" w:hRule="exact"/>
        </w:trPr>
        <w:tc>
          <w:tcPr>
            <w:gridSpan w:val="4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Histologic Features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Variant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IEFVPTC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(35%)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PTC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(33%)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22"/>
                <w:szCs w:val="22"/>
                <w:color w:val="000000"/>
              </w:rPr>
              <w:t xml:space="preserve">Extrathyroidal Extension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Negative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(80%)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Minimal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(11%)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Extensive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(9%)</w:t>
            </w:r>
          </w:p>
        </w:tc>
      </w:tr>
      <w:tr>
        <w:trPr>
          <w:trHeight w:val="33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Lymphovascular Invasion (Positive)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†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(29%)</w:t>
            </w:r>
          </w:p>
        </w:tc>
      </w:tr>
      <w:tr>
        <w:trPr>
          <w:trHeight w:val="330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Multifocality (Positive)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 (29%)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(17%)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 (27%)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AJCC, American Joint Committee on Cancer; FTC, follicular thyroid carcinoma; IEFVPTC, invasive encapsulated follicular variant of papillary thyroid carcinoma; M, metastasis; N, lymph node; PTC, papillary thyroid carcinoma; SD, standard deviation; T, tumor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 Thyroid cancer stage and T category were assigned using AJCC 8th-edition criteria regardless of what was listed on original operative pathology reports.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 n = 1 patient had indeterminate lymphovascular invasion but was treated as "negative" analytically.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All values are displayed as mean ± SD for continuous variables or n (%) for categorical variables.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2026-10-01T22:46:33Z</dcterms:modified>
  <cp:category/>
</cp:coreProperties>
</file>