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FE460" w14:textId="77777777" w:rsidR="00204456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120"/>
      </w:pPr>
      <w:r>
        <w:rPr>
          <w:rFonts w:ascii="Arial" w:eastAsia="Arial" w:hAnsi="Arial" w:cs="Arial"/>
          <w:b/>
          <w:color w:val="000000"/>
          <w:sz w:val="22"/>
          <w:szCs w:val="22"/>
        </w:rPr>
        <w:t>Table I. Clinical and pathological characteristics of patients and analyzed tumors.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 w:rsidR="00204456" w14:paraId="0EDED969" w14:textId="77777777">
        <w:trPr>
          <w:tblHeader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901F4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60" w:right="12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br/>
              <w:t xml:space="preserve">   Variable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CC7A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60" w:right="12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Early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br/>
              <w:t>(n = 49)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34B1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60" w:right="12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Advanced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br/>
              <w:t>(n = 6)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4CF3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60" w:right="12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Total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br/>
              <w:t>(N = 55)</w:t>
            </w:r>
          </w:p>
        </w:tc>
      </w:tr>
      <w:tr w:rsidR="00204456" w14:paraId="49B57BB0" w14:textId="77777777">
        <w:trPr>
          <w:trHeight w:hRule="exact" w:val="451"/>
          <w:jc w:val="center"/>
        </w:trPr>
        <w:tc>
          <w:tcPr>
            <w:tcW w:w="8368" w:type="dxa"/>
            <w:gridSpan w:val="4"/>
            <w:tcBorders>
              <w:top w:val="single" w:sz="6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755D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60" w:right="12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Patient Characteristics</w:t>
            </w:r>
          </w:p>
        </w:tc>
      </w:tr>
      <w:tr w:rsidR="00204456" w14:paraId="2FCC6F2C" w14:textId="77777777">
        <w:trPr>
          <w:trHeight w:hRule="exact" w:val="330"/>
          <w:jc w:val="center"/>
        </w:trPr>
        <w:tc>
          <w:tcPr>
            <w:tcW w:w="4127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6F39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 (y)</w:t>
            </w:r>
          </w:p>
        </w:tc>
        <w:tc>
          <w:tcPr>
            <w:tcW w:w="1403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AD957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59.3 ± 11.5</w:t>
            </w:r>
          </w:p>
        </w:tc>
        <w:tc>
          <w:tcPr>
            <w:tcW w:w="1435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0CC60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70.3 ± 10.4</w:t>
            </w:r>
          </w:p>
        </w:tc>
        <w:tc>
          <w:tcPr>
            <w:tcW w:w="1403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D5CC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60.5 ± 11.8</w:t>
            </w:r>
          </w:p>
        </w:tc>
      </w:tr>
      <w:tr w:rsidR="00204456" w14:paraId="0848EA76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1A5A7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Sex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CDA20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8CB06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19760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68D3DBD2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76743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1709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(67%)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96FC7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(100%)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2091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(71%)</w:t>
            </w:r>
          </w:p>
        </w:tc>
      </w:tr>
      <w:tr w:rsidR="00204456" w14:paraId="57B2671C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4FC0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Male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5723C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(33%)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C2B8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EE20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(29%)</w:t>
            </w:r>
          </w:p>
        </w:tc>
      </w:tr>
      <w:tr w:rsidR="00204456" w14:paraId="61164BEB" w14:textId="77777777">
        <w:trPr>
          <w:trHeight w:hRule="exact" w:val="451"/>
          <w:jc w:val="center"/>
        </w:trPr>
        <w:tc>
          <w:tcPr>
            <w:tcW w:w="8368" w:type="dxa"/>
            <w:gridSpan w:val="4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A6FF7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60" w:right="12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Staging</w:t>
            </w:r>
          </w:p>
        </w:tc>
      </w:tr>
      <w:tr w:rsidR="00204456" w14:paraId="599B8905" w14:textId="77777777">
        <w:trPr>
          <w:trHeight w:hRule="exact" w:val="330"/>
          <w:jc w:val="center"/>
        </w:trPr>
        <w:tc>
          <w:tcPr>
            <w:tcW w:w="4127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B538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Pathologic Stage*</w:t>
            </w:r>
          </w:p>
        </w:tc>
        <w:tc>
          <w:tcPr>
            <w:tcW w:w="1403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F7399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29877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FC593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57BDB3F6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45EE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8C450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 (71%)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02475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3457D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 (64%)</w:t>
            </w:r>
          </w:p>
        </w:tc>
      </w:tr>
      <w:tr w:rsidR="00204456" w14:paraId="5181F86A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DD643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II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17F6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(29%)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1CC64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AEBB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(25%)</w:t>
            </w:r>
          </w:p>
        </w:tc>
      </w:tr>
      <w:tr w:rsidR="00204456" w14:paraId="5DF88975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3DD0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III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39D0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AF713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(83%)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557DE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(9%)</w:t>
            </w:r>
          </w:p>
        </w:tc>
      </w:tr>
      <w:tr w:rsidR="00204456" w14:paraId="0CC2D2A6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E34F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IV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3551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4B11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(17%)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9C54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(2%)</w:t>
            </w:r>
          </w:p>
        </w:tc>
      </w:tr>
      <w:tr w:rsidR="00204456" w14:paraId="1F7B039A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7DC4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T Category*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A95EB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61117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A8C74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02E065D4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5ED0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T1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32DB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 (35%)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C945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(17%)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40B3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(33%)</w:t>
            </w:r>
          </w:p>
        </w:tc>
      </w:tr>
      <w:tr w:rsidR="00204456" w14:paraId="718762A8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F25BE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T2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7DEE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(27%)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F8F3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5695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(24%)</w:t>
            </w:r>
          </w:p>
        </w:tc>
      </w:tr>
      <w:tr w:rsidR="00204456" w14:paraId="4A34BB5C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0B373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T3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3CA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(39%)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1F3C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2940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(35%)</w:t>
            </w:r>
          </w:p>
        </w:tc>
      </w:tr>
      <w:tr w:rsidR="00204456" w14:paraId="0080F230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49FD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T4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42E9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CB8B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(83%)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239C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(9%)</w:t>
            </w:r>
          </w:p>
        </w:tc>
      </w:tr>
      <w:tr w:rsidR="00204456" w14:paraId="5215CC9A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7DF1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N Category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69CC0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82885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76E0D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09C9D9C9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70EA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N0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A0D4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 (86%)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C8395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(67%)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0D1B4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 (84%)</w:t>
            </w:r>
          </w:p>
        </w:tc>
      </w:tr>
      <w:tr w:rsidR="00204456" w14:paraId="29A23E98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49D0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N1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816E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(14%)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3E9E5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(33%)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DCC5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(16%)</w:t>
            </w:r>
          </w:p>
        </w:tc>
      </w:tr>
      <w:tr w:rsidR="00204456" w14:paraId="64605327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81C9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M Category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CCE39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061F5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ADA94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67503C98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2F4E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M0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9434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 (100%)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748C6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(83%)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F941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 (98%)</w:t>
            </w:r>
          </w:p>
        </w:tc>
      </w:tr>
      <w:tr w:rsidR="00204456" w14:paraId="17369B95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18D0E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M1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D12E6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ADFF6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(17%)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EDB7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(2%)</w:t>
            </w:r>
          </w:p>
        </w:tc>
      </w:tr>
      <w:tr w:rsidR="00204456" w14:paraId="5BF0CA8E" w14:textId="77777777">
        <w:trPr>
          <w:trHeight w:hRule="exact" w:val="451"/>
          <w:jc w:val="center"/>
        </w:trPr>
        <w:tc>
          <w:tcPr>
            <w:tcW w:w="8368" w:type="dxa"/>
            <w:gridSpan w:val="4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B68D0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60" w:right="12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Histologic Features</w:t>
            </w:r>
          </w:p>
        </w:tc>
      </w:tr>
      <w:tr w:rsidR="00204456" w14:paraId="55F5D2EA" w14:textId="77777777">
        <w:trPr>
          <w:trHeight w:hRule="exact" w:val="330"/>
          <w:jc w:val="center"/>
        </w:trPr>
        <w:tc>
          <w:tcPr>
            <w:tcW w:w="4127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77F01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Variant</w:t>
            </w:r>
          </w:p>
        </w:tc>
        <w:tc>
          <w:tcPr>
            <w:tcW w:w="1403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025E7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ACEE8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078C5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69E918D9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9416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FTC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024C7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(31%)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FBDE3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(50%)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46DE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(33%)</w:t>
            </w:r>
          </w:p>
        </w:tc>
      </w:tr>
      <w:tr w:rsidR="00204456" w14:paraId="436F2A80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B262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IEFVPTC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49B6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(39%)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9F54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3E6EE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(35%)</w:t>
            </w:r>
          </w:p>
        </w:tc>
      </w:tr>
      <w:tr w:rsidR="00204456" w14:paraId="32FCDD12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E5BE0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PTC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75F05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(31%)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4F09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(50%)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EF6B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(33%)</w:t>
            </w:r>
          </w:p>
        </w:tc>
      </w:tr>
      <w:tr w:rsidR="00204456" w14:paraId="5212307A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9D3A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  <w:t>Extrathyroidal Extension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99EE2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12F8C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9F9D4" w14:textId="77777777" w:rsidR="00204456" w:rsidRDefault="002044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04456" w14:paraId="47BFD861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A98E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Negative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8B4ED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 (88%)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1CE3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(17%)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150A6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(80%)</w:t>
            </w:r>
          </w:p>
        </w:tc>
      </w:tr>
      <w:tr w:rsidR="00204456" w14:paraId="2868ED7C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CE68B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Minimal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52C27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(12%)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B9CD9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D1204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(11%)</w:t>
            </w:r>
          </w:p>
        </w:tc>
      </w:tr>
      <w:tr w:rsidR="00204456" w14:paraId="6842622D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B7334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300" w:right="12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Extensive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F84D5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7AB4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(83%)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2C312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(9%)</w:t>
            </w:r>
          </w:p>
        </w:tc>
      </w:tr>
      <w:tr w:rsidR="00204456" w14:paraId="4A570361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D53FA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Lymphovascular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Invasion (Positive)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†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B92C8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(22%)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AF13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(83%)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601FC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(29%)</w:t>
            </w:r>
          </w:p>
        </w:tc>
      </w:tr>
      <w:tr w:rsidR="00204456" w14:paraId="51FBD36E" w14:textId="77777777">
        <w:trPr>
          <w:trHeight w:hRule="exact" w:val="330"/>
          <w:jc w:val="center"/>
        </w:trPr>
        <w:tc>
          <w:tcPr>
            <w:tcW w:w="4127" w:type="dxa"/>
            <w:tcBorders>
              <w:top w:val="none" w:sz="0" w:space="0" w:color="000000"/>
              <w:left w:val="none" w:sz="0" w:space="0" w:color="000000"/>
              <w:bottom w:val="doub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96A1F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left="18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Multifocality (Positive)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doub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8DE7C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(29%)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doub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C0FDE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(17%)</w:t>
            </w:r>
          </w:p>
        </w:tc>
        <w:tc>
          <w:tcPr>
            <w:tcW w:w="1403" w:type="dxa"/>
            <w:tcBorders>
              <w:top w:val="none" w:sz="0" w:space="0" w:color="000000"/>
              <w:left w:val="none" w:sz="0" w:space="0" w:color="000000"/>
              <w:bottom w:val="doub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982CE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0"/>
              <w:ind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(27%)</w:t>
            </w:r>
          </w:p>
        </w:tc>
      </w:tr>
      <w:tr w:rsidR="00204456" w14:paraId="0630534E" w14:textId="77777777">
        <w:trPr>
          <w:jc w:val="center"/>
        </w:trPr>
        <w:tc>
          <w:tcPr>
            <w:tcW w:w="8368" w:type="dxa"/>
            <w:gridSpan w:val="4"/>
            <w:tcBorders>
              <w:top w:val="double" w:sz="4" w:space="0" w:color="000000"/>
              <w:left w:val="none" w:sz="0" w:space="0" w:color="FFFFFF"/>
              <w:bottom w:val="double" w:sz="4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AFE73" w14:textId="77777777" w:rsidR="0020445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</w:pP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br/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br/>
              <w:t>* Thyroid cancer stage and T category were assigned using AJCC 8th-edition criteria regardless of what was listed on original operative pathology reports.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br/>
              <w:t xml:space="preserve">† n = 1 patient had indeterminate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>lymphovascular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invasion but was treated as "negative" analytically.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br/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br/>
              <w:t>All values are displayed as mean ± SD for ratio continuous variables or n (%) for categorical variables.</w:t>
            </w:r>
          </w:p>
        </w:tc>
      </w:tr>
    </w:tbl>
    <w:p w14:paraId="06F87C6E" w14:textId="77777777" w:rsidR="001417D2" w:rsidRDefault="001417D2"/>
    <w:sectPr w:rsidR="001417D2">
      <w:footerReference w:type="default" r:id="rId7"/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5397F" w14:textId="77777777" w:rsidR="001417D2" w:rsidRDefault="001417D2">
      <w:r>
        <w:separator/>
      </w:r>
    </w:p>
  </w:endnote>
  <w:endnote w:type="continuationSeparator" w:id="0">
    <w:p w14:paraId="1B7495F1" w14:textId="77777777" w:rsidR="001417D2" w:rsidRDefault="00141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4E8F8" w14:textId="77777777" w:rsidR="00204456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</w:pPr>
    <w:r>
      <w:rPr>
        <w:rFonts w:ascii="Arial" w:eastAsia="Arial" w:hAnsi="Arial" w:cs="Arial"/>
        <w:b/>
        <w:i/>
        <w:color w:val="000000"/>
        <w:sz w:val="16"/>
        <w:szCs w:val="16"/>
      </w:rPr>
      <w:t xml:space="preserve">Created with </w:t>
    </w:r>
    <w:proofErr w:type="spellStart"/>
    <w:r>
      <w:rPr>
        <w:rFonts w:ascii="Arial" w:eastAsia="Arial" w:hAnsi="Arial" w:cs="Arial"/>
        <w:b/>
        <w:i/>
        <w:color w:val="000000"/>
        <w:sz w:val="16"/>
        <w:szCs w:val="16"/>
      </w:rPr>
      <w:t>TernTables</w:t>
    </w:r>
    <w:proofErr w:type="spellEnd"/>
    <w:r>
      <w:rPr>
        <w:rFonts w:ascii="Arial" w:eastAsia="Arial" w:hAnsi="Arial" w:cs="Arial"/>
        <w:b/>
        <w:i/>
        <w:color w:val="000000"/>
        <w:sz w:val="16"/>
        <w:szCs w:val="16"/>
      </w:rPr>
      <w:t xml:space="preserve"> v1.6.3. Please cite: Preston JD, </w:t>
    </w:r>
    <w:proofErr w:type="spellStart"/>
    <w:r>
      <w:rPr>
        <w:rFonts w:ascii="Arial" w:eastAsia="Arial" w:hAnsi="Arial" w:cs="Arial"/>
        <w:b/>
        <w:i/>
        <w:color w:val="000000"/>
        <w:sz w:val="16"/>
        <w:szCs w:val="16"/>
      </w:rPr>
      <w:t>Abadiotakis</w:t>
    </w:r>
    <w:proofErr w:type="spellEnd"/>
    <w:r>
      <w:rPr>
        <w:rFonts w:ascii="Arial" w:eastAsia="Arial" w:hAnsi="Arial" w:cs="Arial"/>
        <w:b/>
        <w:i/>
        <w:color w:val="000000"/>
        <w:sz w:val="16"/>
        <w:szCs w:val="16"/>
      </w:rPr>
      <w:t xml:space="preserve"> H, Tang A, Rust CJ, Chan JL. </w:t>
    </w:r>
    <w:proofErr w:type="spellStart"/>
    <w:r>
      <w:rPr>
        <w:rFonts w:ascii="Arial" w:eastAsia="Arial" w:hAnsi="Arial" w:cs="Arial"/>
        <w:b/>
        <w:i/>
        <w:color w:val="000000"/>
        <w:sz w:val="16"/>
        <w:szCs w:val="16"/>
      </w:rPr>
      <w:t>TernTables</w:t>
    </w:r>
    <w:proofErr w:type="spellEnd"/>
    <w:r>
      <w:rPr>
        <w:rFonts w:ascii="Arial" w:eastAsia="Arial" w:hAnsi="Arial" w:cs="Arial"/>
        <w:b/>
        <w:i/>
        <w:color w:val="000000"/>
        <w:sz w:val="16"/>
        <w:szCs w:val="16"/>
      </w:rPr>
      <w:t>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79F83" w14:textId="77777777" w:rsidR="001417D2" w:rsidRDefault="001417D2">
      <w:r>
        <w:separator/>
      </w:r>
    </w:p>
  </w:footnote>
  <w:footnote w:type="continuationSeparator" w:id="0">
    <w:p w14:paraId="61A89766" w14:textId="77777777" w:rsidR="001417D2" w:rsidRDefault="001417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40098719">
    <w:abstractNumId w:val="1"/>
  </w:num>
  <w:num w:numId="2" w16cid:durableId="913900896">
    <w:abstractNumId w:val="2"/>
  </w:num>
  <w:num w:numId="3" w16cid:durableId="864289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456"/>
    <w:rsid w:val="001417D2"/>
    <w:rsid w:val="00144E8F"/>
    <w:rsid w:val="00204456"/>
    <w:rsid w:val="0036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E89BDC"/>
  <w15:docId w15:val="{FFF7B7D6-FF52-F04D-99E9-4E82F1FAA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287</Words>
  <Characters>1300</Characters>
  <Application>Microsoft Office Word</Application>
  <DocSecurity>0</DocSecurity>
  <Lines>140</Lines>
  <Paragraphs>108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Preston, Joshua</cp:lastModifiedBy>
  <cp:revision>10</cp:revision>
  <dcterms:created xsi:type="dcterms:W3CDTF">2017-02-28T11:18:00Z</dcterms:created>
  <dcterms:modified xsi:type="dcterms:W3CDTF">2026-03-20T06:43:00Z</dcterms:modified>
  <cp:category/>
</cp:coreProperties>
</file>