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I. Clinical and pathological characteristics of patients and analyzed tumors.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27"/>
        <w:gridCol w:w="1403"/>
        <w:gridCol w:w="1435"/>
        <w:gridCol w:w="1403"/>
      </w:tblGrid>
      <w:tr>
        <w:trPr>
          <w:trHeight w:val="821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Early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 = 49)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Advanced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 = 6)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 = 55)</w:t>
            </w:r>
          </w:p>
        </w:tc>
      </w:tr>
      <w:tr>
        <w:trPr>
          <w:trHeight w:val="451" w:hRule="exact"/>
        </w:trPr>
        <w:tc>
          <w:tcPr>
            <w:gridSpan w:val="4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Patient Characteristics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59.3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70.3 ± 10.4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60.5 ± 11.8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(71%)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(29%)</w:t>
            </w:r>
          </w:p>
        </w:tc>
      </w:tr>
      <w:tr>
        <w:trPr>
          <w:trHeight w:val="451" w:hRule="exact"/>
        </w:trPr>
        <w:tc>
          <w:tcPr>
            <w:gridSpan w:val="4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Staging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Pathologic Stage*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(64%)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(25%)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(2%)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T Category*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(33%)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(24%)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(35%)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(84%)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(16%)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(98%)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(2%)</w:t>
            </w:r>
          </w:p>
        </w:tc>
      </w:tr>
      <w:tr>
        <w:trPr>
          <w:trHeight w:val="451" w:hRule="exact"/>
        </w:trPr>
        <w:tc>
          <w:tcPr>
            <w:gridSpan w:val="4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Histologic Features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Variant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(33%)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IEFVPTC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(35%)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(33%)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Extrathyroidal Extension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(80%)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(11%)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Lymphovascular Invasion (Positive)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†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(29%)</w:t>
            </w:r>
          </w:p>
        </w:tc>
      </w:tr>
      <w:tr>
        <w:trPr>
          <w:trHeight w:val="330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Multifocality (Positive)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(29%)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(27%)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AJCC, American Joint Committee on Cancer; FTC, follicular thyroid carcinoma; IEFVPTC, invasive encapsulated follicular variant of papillary thyroid carcinoma; M, metastasis; N, lymph node; PTC, papillary thyroid carcinoma; SD, standard deviation; T, tumor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 Thyroid cancer stage and T category were assigned using AJCC 8th-edition criteria regardless of what was listed on original operative pathology reports.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 n = 1 patient had indeterminate lymphovascular invasion but was treated as "negative" analytically.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All values are displayed as mean ± SD for continuous variables or n (%) for categorical variables.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2026-10-01T18:41:49Z</dcterms:modified>
  <cp:category/>
</cp:coreProperties>
</file>