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I. Clinical and pathological characteristics of patients and analyzed tumors.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27"/>
        <w:gridCol w:w="1403"/>
        <w:gridCol w:w="1435"/>
        <w:gridCol w:w="1403"/>
      </w:tblGrid>
      <w:tr>
        <w:trPr>
          <w:trHeight w:val="821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Early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 = 49)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Advanced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 = 6)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 = 55)</w:t>
            </w:r>
          </w:p>
        </w:tc>
      </w:tr>
      <w:tr>
        <w:trPr>
          <w:trHeight w:val="451" w:hRule="exact"/>
        </w:trPr>
        <w:tc>
          <w:tcPr>
            <w:gridSpan w:val="4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Patient Characteristics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59.3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70.3 ± 10.4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60.5 ± 11.8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(71%)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(29%)</w:t>
            </w:r>
          </w:p>
        </w:tc>
      </w:tr>
      <w:tr>
        <w:trPr>
          <w:trHeight w:val="451" w:hRule="exact"/>
        </w:trPr>
        <w:tc>
          <w:tcPr>
            <w:gridSpan w:val="4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Staging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Pathologic Stage*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(64%)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(25%)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(2%)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T Category*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(33%)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(24%)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(35%)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(84%)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(16%)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(98%)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(2%)</w:t>
            </w:r>
          </w:p>
        </w:tc>
      </w:tr>
      <w:tr>
        <w:trPr>
          <w:trHeight w:val="451" w:hRule="exact"/>
        </w:trPr>
        <w:tc>
          <w:tcPr>
            <w:gridSpan w:val="4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Histologic Features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Variant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(33%)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IEFVPTC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(35%)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(33%)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Extrathyroidal Extension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(80%)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(11%)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Lymphovascular Invasion (Positive)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(29%)</w:t>
            </w:r>
          </w:p>
        </w:tc>
      </w:tr>
      <w:tr>
        <w:trPr>
          <w:trHeight w:val="330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Multifocality (Positive)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(29%)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(27%)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AJCC, American Joint Committee on Cancer; FTC, follicular thyroid carcinoma; IEFVPTC, invasive encapsulated follicular variant of papillary thyroid carcinoma; M, metastasis; N, lymph node; PTC, papillary thyroid carcinoma; SD, standard deviation; T, tumor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 Thyroid cancer stage and T category were assigned using AJCC 8th-edition criteria regardless of what was listed on original operative pathology reports.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 n = 1 patient had indeterminate lymphovascular invasion but was treated as "negative" analytically.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All values are displayed as mean ± SD for ratio continuous variables or n (%) for categorical variables.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2026-03-20T16:23:54Z</dcterms:modified>
  <cp:category/>
</cp:coreProperties>
</file>