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I. Clinical and pathological characteristics of patients and analyzed tumors.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27"/>
        <w:gridCol w:w="1403"/>
        <w:gridCol w:w="1435"/>
        <w:gridCol w:w="1403"/>
      </w:tblGrid>
      <w:tr>
        <w:trPr>
          <w:trHeight w:val="821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Early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 = 49)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Advanced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 = 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 = 55)</w:t>
            </w:r>
          </w:p>
        </w:tc>
      </w:tr>
      <w:tr>
        <w:trPr>
          <w:trHeight w:val="451" w:hRule="exact"/>
        </w:trPr>
        <w:tc>
          <w:tcPr>
            <w:gridSpan w:val="4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 Characteristics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 ± 11.5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 ± 10.4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 ± 11.8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(71%)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(29%)</w:t>
            </w:r>
          </w:p>
        </w:tc>
      </w:tr>
      <w:tr>
        <w:trPr>
          <w:trHeight w:val="451" w:hRule="exact"/>
        </w:trPr>
        <w:tc>
          <w:tcPr>
            <w:gridSpan w:val="4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Staging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Pathologic Stage*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(64%)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(25%)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T Category*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(33%)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(24%)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(35%)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N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(84%)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(16%)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M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(98%)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(2%)</w:t>
            </w:r>
          </w:p>
        </w:tc>
      </w:tr>
      <w:tr>
        <w:trPr>
          <w:trHeight w:val="451" w:hRule="exact"/>
        </w:trPr>
        <w:tc>
          <w:tcPr>
            <w:gridSpan w:val="4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Histologic Features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(33%)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IEFVPTC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(35%)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(33%)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Extrathyroidal Extension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(80%)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(9%)</w:t>
            </w:r>
          </w:p>
        </w:tc>
      </w:tr>
      <w:tr>
        <w:trPr>
          <w:trHeight w:val="33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Lymphovascular Invasion (Positive)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(29%)</w:t>
            </w:r>
          </w:p>
        </w:tc>
      </w:tr>
      <w:tr>
        <w:trPr>
          <w:trHeight w:val="330" w:hRule="exact"/>
        </w:trPr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Multifocality (Positive)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(29%)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(27%)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double" w:sz="4" w:space="0" w:color="000000"/>
              <w:top w:val="doub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AJCC, American Joint Committee on Cancer; FTC, follicular thyroid carcinoma; IEFVPTC, invasive encapsulated follicular variant of papillary thyroid carcinoma; M, metastasis; N, lymph node; PTC, papillary thyroid carcinoma; SD, standard deviation; T, tumor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 Thyroid cancer stage and T category were assigned using AJCC 8th-edition criteria regardless of what was listed on original operative pathology reports.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 n = 1 patient had indeterminate lymphovascular invasion but was treated as "negative" analytically.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All values are displayed as mean ± SD for continuous variables or n (%) for categorical variables.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2026-10-01T20:29:22Z</dcterms:modified>
  <cp:category/>
</cp:coreProperties>
</file>