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Fig1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Asp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aspartate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fatty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FV-PTC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follicular variant of 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His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histidine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papillary thyroid carcinoma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Fig2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9-O-Acetyl-Neu5Ac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N-acetyl-9-O-acetylneuraminate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GroPIns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sn-glycero-3-phospho-1-inositol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P-Pantothenate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D-4'-phosphopantothenate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Fig3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Ala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alanine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CYP450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cytochrome P450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EPA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eicosapentaenoic acid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GSL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glycosphingolipid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Gly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glycine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LTD4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leukotriene D4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Oleoyl-DHAP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oleoylglycerone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PAPS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3'-phosphoadenylyl sulfate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PG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prostaglandin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serine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Thr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threonine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dATP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2'-deoxyadenosine 5'-triphosphate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Fig4 abbrev:</w:t>
      </w:r>
    </w:p>
    <w:p>
      <w:pPr>
        <w:pStyle w:val="Normal"/>
        <w:jc w:val="both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7-DHC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7-dehydrocholesterol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adenosine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Acetyl-P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acetyl 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CoA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coenzyme 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DTC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differentiated thyroid cancer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GMP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guanosine monophosphate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Ribose 5-P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ribose 5-phosphate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SAH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S-adenosyl-L-homocysteine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SAM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S-adenosyl-L-methionine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; </w:t>
      </w:r>
      <w:r>
        <w:rPr>
          <w:rFonts w:ascii="Arial" w:hAnsi="Arial" w:eastAsia="Arial" w:cs="Arial"/>
          <w:i w:val="true"/>
          <w:b w:val="false"/>
          <w:u w:val="none"/>
          <w:strike w:val="false"/>
          <w:sz w:val="22"/>
          <w:szCs w:val="22"/>
          <w:color w:val="000000"/>
        </w:rPr>
        <w:t xml:space="preserve">TCA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, 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tricarboxylic acid cycle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2"/>
          <w:szCs w:val="22"/>
          <w:color w:val="000000"/>
        </w:rPr>
        <w:t xml:space="preserve">.</w:t>
      </w:r>
    </w:p>
    <w:p>
      <w:pPr>
        <w:pStyle w:val="Normal"/>
      </w:pPr>
      <w:r>
        <w:t xml:space="preserve"/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2026-01-19T07:09:58Z</dcterms:modified>
  <cp:category/>
</cp:coreProperties>
</file>