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I. Clinical and pathological characteristics of patients and analyzed tumors.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>
        <w:trPr>
          <w:trHeight w:val="82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Early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55)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Patient Characteristics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 ± 11.8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(71%)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Staging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Pathologic Stage*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T Category*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Histologic Features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IEFVPTC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(80%)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Lymphovascular Invasion (Positive)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330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Multifocality (Positive)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AJCC, American Joint Committee on Cancer; FTC, follicular thyroid carcinoma; IEFVPTC, invasive encapsulated follicular variant of papillary thyroid carcinoma; M, metastasis; N, lymph node; PTC, papillary thyroid carcinoma; SD, standard deviation; T, tumor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 Thyroid cancer stage and T category were assigned using AJCC 8th-edition criteria regardless of what was listed on original operative pathology reports.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 n = 1 patient had indeterminate lymphovascular invasion but was treated as "negative" analytically.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 values are displayed as mean ± SD for ratio continuous variables or n (%) for categorical variables.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2026-03-19T23:28:50Z</dcterms:modified>
  <cp:category/>
</cp:coreProperties>
</file>