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I. Clinical and pathological characteristics of patients and analyzed tumors.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27"/>
        <w:gridCol w:w="1403"/>
        <w:gridCol w:w="1435"/>
        <w:gridCol w:w="1403"/>
      </w:tblGrid>
      <w:tr>
        <w:trPr>
          <w:trHeight w:val="821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Early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 = 49)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Advanced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 = 6)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 = 55)</w:t>
            </w:r>
          </w:p>
        </w:tc>
      </w:tr>
      <w:tr>
        <w:trPr>
          <w:trHeight w:val="451" w:hRule="exact"/>
        </w:trPr>
        <w:tc>
          <w:tcPr>
            <w:gridSpan w:val="4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Patient Characteristics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59.3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70.3 ± 10.4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60.5 ± 11.8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(71%)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(29%)</w:t>
            </w:r>
          </w:p>
        </w:tc>
      </w:tr>
      <w:tr>
        <w:trPr>
          <w:trHeight w:val="451" w:hRule="exact"/>
        </w:trPr>
        <w:tc>
          <w:tcPr>
            <w:gridSpan w:val="4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Staging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Pathologic Stage*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(64%)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(25%)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(2%)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T Category*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(33%)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(24%)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(35%)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(84%)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(16%)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(98%)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(2%)</w:t>
            </w:r>
          </w:p>
        </w:tc>
      </w:tr>
      <w:tr>
        <w:trPr>
          <w:trHeight w:val="451" w:hRule="exact"/>
        </w:trPr>
        <w:tc>
          <w:tcPr>
            <w:gridSpan w:val="4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Histologic Features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Variant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(33%)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IEFVPTC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(35%)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(33%)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Extrathyroidal Extension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(80%)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(11%)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Lymphovascular Invasion (Positive)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(29%)</w:t>
            </w:r>
          </w:p>
        </w:tc>
      </w:tr>
      <w:tr>
        <w:trPr>
          <w:trHeight w:val="330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Multifocality (Positive)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(29%)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(27%)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AJCC, American Joint Committee on Cancer; FTC, follicular thyroid carcinoma; IEFVPTC, invasive encapsulated follicular variant of papillary thyroid carcinoma; M, metastasis; N, lymph node; PTC, papillary thyroid carcinoma; SD, standard deviation; T, tumor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 Thyroid cancer stage and T category were assigned using AJCC 8th-edition criteria regardless of what was listed on original operative pathology reports.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 n = 1 patient had indeterminate lymphovascular invasion but was treated as "negative" analytically.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All values are displayed as mean ± SD for ratio continuous variables or n (%) for categorical variables.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2026-08-13T14:19:16Z</dcterms:modified>
  <cp:category/>
</cp:coreProperties>
</file>