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Mean_SD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Median_IQR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31.5 ± 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 [23–36.5]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gender: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gender: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 ±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 [23.2–31.3]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 ±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 [80–125.8]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57.8 ± 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 [40–82]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101.9 ±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104 [84.8–129.2]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 ±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[16–33.2]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 ± 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[4–5]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±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[2–4]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 ±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[2–2]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30.4 ± 34.7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 [13.2–36]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15.8 ±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[4–22]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 ±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[2–8]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 (15%)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Statistical Methods: For continuous variables, normality was assessed using the Shapiro-Wilk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2-group comparisons, normally distributed variables were compared using Welch’s t-test; non-normal distributions were compared using the Wilcoxon rank-sum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3-group comparisons, normally distributed variables were compared using one-way ANOVA; non-normal or ordinal variables specified by the user were compared using the Kruskal-Wallis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Categorical variables were compared using Chi-squared tests or Fisher’s exact tests if expected counts were &lt;5.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Ordinal variables were summarized as medians [IQR] and compared using appropriate non-parametric tests.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Note: Approximate p-values were used for non-parametric tests with tied data.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2025-08-06T07:20:19Z</dcterms:modified>
  <cp:category/>
</cp:coreProperties>
</file>