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Summary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SW_p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 [23–36.5]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0.000000036479429684742222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sex: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sex: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112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25.9 [23.2–31.3]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0.000197623441190921159908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injury_type: 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injury_type: 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117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IVC_repair_type: Irreparable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IVC_repair_type: Ligation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IVC_repair_type: Patch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IVC_repair_type: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76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 [80–125.8]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0.000001617660130923799745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 [40–82]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0.000006182643633803370188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104 [84.8–129.2]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0.000014100855336714942118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 [16–33.2]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0.000000002744544255122209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AIS_abdomen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 [4–5]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0.000000000001410907786466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AIS_thorax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0.000368841348864538997113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AIS_spine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0.000000000058447258552300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time_to_ppx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57.9 [33.5–81]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0.000389076822273189397872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hospital_days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 [1–24.2]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0.000000000000000001736455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hospital_days_72h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 [13–35.2]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0.000000000000025035860706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ICU_days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 [3–18.8]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0.000000000001612046499900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ICU_days_72h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 [4–21.5]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0.000000000035371138347036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vent_days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[1–6]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0.000000000000011320914776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vent_days_72h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 [2–11.8]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0.000000000090223674127082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readmission_wi_30d: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63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readmission_wi_30d: 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 (15%)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Statistical Methods: For continuous variables, normality was assessed using the Shapiro-Wilk test.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For 2-group comparisons, normally distributed variables were compared using Welch’s t-test; non-normal distributions were compared using the Wilcoxon rank-sum test.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For 3-group comparisons, normally distributed variables were compared using one-way ANOVA; non-normal or ordinal variables specified by the user were compared using the Kruskal-Wallis test.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Categorical variables were compared using Chi-squared tests or Fisher’s exact tests if expected counts were &lt;5.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Ordinal variables were summarized as medians [IQR] and compared using appropriate non-parametric tests.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Note: Approximate p-values were used for non-parametric tests with tied data.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2025-09-03T02:29:45Z</dcterms:modified>
  <cp:category/>
</cp:coreProperties>
</file>