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720" w:hRule="auto"/>
          <w:tblHeader/>
        </w:trPr>
        header1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Suprahepatic</w:t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= 3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Retrohepatic</w:t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= 12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Juxtarenal</w:t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= 29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Infrarenal</w:t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= 88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Total</w:t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= 132</w:t>
            </w:r>
          </w:p>
        </w:tc>
      </w:tr>
      <w:tr>
        <w:trPr>
          <w:trHeight w:val="288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Mechanism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28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Blunt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(33.5%)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15 (11.5%)</w:t>
            </w:r>
          </w:p>
        </w:tc>
      </w:tr>
      <w:tr>
        <w:trPr>
          <w:trHeight w:val="28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Penetrating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(66.5%)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(83.5%)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83 (94.5%)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117 (88.5%)</w:t>
            </w:r>
          </w:p>
        </w:tc>
      </w:tr>
      <w:tr>
        <w:trPr>
          <w:trHeight w:val="28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28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&lt; 24h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49 (37%)</w:t>
            </w:r>
          </w:p>
        </w:tc>
      </w:tr>
      <w:tr>
        <w:trPr>
          <w:trHeight w:val="28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24h - 72h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 (2.5%)</w:t>
            </w:r>
          </w:p>
        </w:tc>
      </w:tr>
      <w:tr>
        <w:trPr>
          <w:trHeight w:val="288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&gt; 72h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6 (4.5%)</w:t>
            </w:r>
          </w:p>
        </w:tc>
      </w:tr>
      <w:tr>
        <w:trPr>
          <w:trHeight w:val="288" w:hRule="auto"/>
        </w:trPr>
        body8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Survived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(41.5%)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 (48.5%)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 (62.5%)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74 (56%)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2025-09-03T02:29:45Z</dcterms:modified>
  <cp:category/>
</cp:coreProperties>
</file>