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Mean_SD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Median_IQR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31.5 ± 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 [23–36.5]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sex: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sex: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112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27.3 ± 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25.9 [23.2–31.3]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injury_type: 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injury_type: 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117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IVC_repair_type: Irreparable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IVC_repair_type: Ligation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IVC_repair_type: 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IVC_repair_type: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98 ±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 [80–125.8]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57.8 ± 34.2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 [40–82]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101.9 ±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104 [84.8–129.2]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 ± 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 [16–33.2]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 ± 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[4–5]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± 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[2–4]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 ±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[2–2]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59.2 ± 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57.9 [33.5–81]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30.4 ± 34.7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 [13.2–36]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15.8 ± 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[4–22]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9.4 ±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[2–8]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readmission_wi_30d: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63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readmission_wi_30d: 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 (15%)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Statistical Methods: For continuous variables, normality was assessed using the Shapiro-Wilk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For 2-group comparisons, normally distributed variables were compared using Welch’s t-test; non-normal distributions were compared using the Wilcoxon rank-sum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For 3-group comparisons, normally distributed variables were compared using one-way ANOVA; non-normal or ordinal variables specified by the user were compared using the Kruskal-Wallis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Categorical variables were compared using Chi-squared tests or Fisher’s exact tests if expected counts were &lt;5.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Ordinal variables were summarized as medians [IQR] and compared using appropriate non-parametric tests.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Note: Approximate p-values were used for non-parametric tests with tied data.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2025-08-06T13:25:09Z</dcterms:modified>
  <cp:category/>
</cp:coreProperties>
</file>