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576" w:hRule="auto"/>
          <w:tblHeader/>
        </w:trPr>
        header 1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   Stratified Variable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 Severe PGD*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(n = 52)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Severe PGD*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(n = 8)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Total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p†</w:t>
            </w:r>
          </w:p>
        </w:tc>
      </w:tr>
      <w:tr>
        <w:trPr>
          <w:trHeight w:val="144" w:hRule="auto"/>
        </w:trPr>
        body 1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demographics_age_tpx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56.2 [47–61.2]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59.1 [52–62.6]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56.6 [48.3–61.3]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0.367</w:t>
            </w:r>
          </w:p>
        </w:tc>
      </w:tr>
      <w:tr>
        <w:trPr>
          <w:trHeight w:val="144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Demographics 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(69%)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(68%)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0.699</w:t>
            </w:r>
          </w:p>
        </w:tc>
      </w:tr>
      <w:tr>
        <w:trPr>
          <w:trHeight w:val="14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Demographics Race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Black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(58%)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0.209</w:t>
            </w:r>
          </w:p>
        </w:tc>
      </w:tr>
      <w:tr>
        <w:trPr>
          <w:trHeight w:val="14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demographics_BMI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26.1 ± 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29.3 ± 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26.5 ± 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0.050</w:t>
            </w:r>
          </w:p>
        </w:tc>
      </w:tr>
      <w:tr>
        <w:trPr>
          <w:trHeight w:val="144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comorbidities_smoking_hx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0.249</w:t>
            </w:r>
          </w:p>
        </w:tc>
      </w:tr>
      <w:tr>
        <w:trPr>
          <w:trHeight w:val="144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comorbidities_DM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0.449</w:t>
            </w:r>
          </w:p>
        </w:tc>
      </w:tr>
      <w:tr>
        <w:trPr>
          <w:trHeight w:val="14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comorbidities_prior_cardiac_surg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(40%)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0.702</w:t>
            </w:r>
          </w:p>
        </w:tc>
      </w:tr>
      <w:tr>
        <w:trPr>
          <w:trHeight w:val="144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Recipient NICM ICM Cong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NICM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(75%)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(75%)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14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ICM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Congenital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preop_temp_MCS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0.702</w:t>
            </w:r>
          </w:p>
        </w:tc>
      </w:tr>
      <w:tr>
        <w:trPr>
          <w:trHeight w:val="14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preop_IABP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144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preop_imeplla5.5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(57%)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0.275</w:t>
            </w:r>
          </w:p>
        </w:tc>
      </w:tr>
      <w:tr>
        <w:trPr>
          <w:trHeight w:val="144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preop_VA_ECMO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0.354</w:t>
            </w:r>
          </w:p>
        </w:tc>
      </w:tr>
      <w:tr>
        <w:trPr>
          <w:trHeight w:val="14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preop_LVAD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0.353</w:t>
            </w:r>
          </w:p>
        </w:tc>
      </w:tr>
      <w:tr>
        <w:trPr>
          <w:trHeight w:val="144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recipient_UNOS_status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[2–2]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[2–4]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[2–2]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0.160</w:t>
            </w:r>
          </w:p>
        </w:tc>
      </w:tr>
      <w:tr>
        <w:trPr>
          <w:trHeight w:val="144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preop_PVR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2.1 [1.4–2.9]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2.2 [2–2.5]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2.1 [1.4–2.8]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0.961</w:t>
            </w:r>
          </w:p>
        </w:tc>
      </w:tr>
      <w:tr>
        <w:trPr>
          <w:trHeight w:val="14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rx_preop_amiodarone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0.686</w:t>
            </w:r>
          </w:p>
        </w:tc>
      </w:tr>
      <w:tr>
        <w:trPr>
          <w:trHeight w:val="144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rx_preop_ASA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0.698</w:t>
            </w:r>
          </w:p>
        </w:tc>
      </w:tr>
      <w:tr>
        <w:trPr>
          <w:trHeight w:val="144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rx_preop_inotrope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(69%)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(67%)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0.422</w:t>
            </w:r>
          </w:p>
        </w:tc>
      </w:tr>
      <w:tr>
        <w:trPr>
          <w:trHeight w:val="14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preop_labs_WBC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7.2 [6.2–9.3]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9.1 [8.4–11]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7.6 [6.3–9.4]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0.090</w:t>
            </w:r>
          </w:p>
        </w:tc>
      </w:tr>
      <w:tr>
        <w:trPr>
          <w:trHeight w:val="144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preop_labs_Hgb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10.6 ± 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11.2 ± 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10.7 ± 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0.589</w:t>
            </w:r>
          </w:p>
        </w:tc>
      </w:tr>
      <w:tr>
        <w:trPr>
          <w:trHeight w:val="144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preop_labs_Plt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183.5 [158–230.2]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161 [153.5–207]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182.5 [155–228]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0.486</w:t>
            </w:r>
          </w:p>
        </w:tc>
      </w:tr>
      <w:tr>
        <w:trPr>
          <w:trHeight w:val="14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preop_labs_sodium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133.3 ± 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132.8 ± 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133.2 ± 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0.705</w:t>
            </w:r>
          </w:p>
        </w:tc>
      </w:tr>
      <w:tr>
        <w:trPr>
          <w:trHeight w:val="144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preop_labs_BUN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22.5 [19–33]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23.5 [20–31.8]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22.5 [19.8–33]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0.819</w:t>
            </w:r>
          </w:p>
        </w:tc>
      </w:tr>
      <w:tr>
        <w:trPr>
          <w:trHeight w:val="144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preop_labs_creatinine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 [1–1.7]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 [1–1.8]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 [1–1.7]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0.965</w:t>
            </w:r>
          </w:p>
        </w:tc>
      </w:tr>
      <w:tr>
        <w:trPr>
          <w:trHeight w:val="14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preop_labs_GFR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[44.8–79.2]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56.5 [47–76.8]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 [44.8–79.2]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0.870</w:t>
            </w:r>
          </w:p>
        </w:tc>
      </w:tr>
      <w:tr>
        <w:trPr>
          <w:trHeight w:val="144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22.5 [19–33]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33.5 [29–40.8]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[19–34.8]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0.063</w:t>
            </w:r>
          </w:p>
        </w:tc>
      </w:tr>
      <w:tr>
        <w:trPr>
          <w:trHeight w:val="144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preop_labs_ALT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20.5 [13.2–30.5]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32.5 [21.2–50.2]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[14.2–37.2]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0.172</w:t>
            </w:r>
          </w:p>
        </w:tc>
      </w:tr>
      <w:tr>
        <w:trPr>
          <w:trHeight w:val="14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preop_labs_alkphos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 [63–88.8]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68.5 [53–115.5]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74.5 [61.5–89.8]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0.718</w:t>
            </w:r>
          </w:p>
        </w:tc>
      </w:tr>
      <w:tr>
        <w:trPr>
          <w:trHeight w:val="144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preop_labs_bilirubin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 [0.4–1.2]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 [0.5–0.9]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 [0.4–1.1]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0.577</w:t>
            </w:r>
          </w:p>
        </w:tc>
      </w:tr>
      <w:tr>
        <w:trPr>
          <w:trHeight w:val="144" w:hRule="auto"/>
        </w:trPr>
        body39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preop_labs_albumin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3.8 [3.4–4.2]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3.6 [3.4–4.2]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3.8 [3.4–4.2]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0.901</w:t>
            </w:r>
          </w:p>
        </w:tc>
      </w:tr>
      <w:tr>
        <w:trPr>
          <w:trHeight w:val="1152" w:hRule="auto"/>
        </w:trPr>
        body40
        <w:tc>
          <w:tcPr>
            <w:gridSpan w:val="5"/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†- Continuous variables are presented as mean ± SD for normally distributed variables or median [IQR] for non-normally distributed or ordinal variables. Categorical variables are presented as n (%).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jdp2019</cp:lastModifiedBy>
  <cp:revision>9</cp:revision>
  <dcterms:created xsi:type="dcterms:W3CDTF">2017-02-28T11:18:00Z</dcterms:created>
  <dcterms:modified xsi:type="dcterms:W3CDTF">2026-01-13T08:10:49Z</dcterms:modified>
  <cp:category/>
</cp:coreProperties>
</file>