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6" w:hRule="auto"/>
          <w:tblHeader/>
        </w:trPr>
        header 1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   Stratified Variable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 Severe PGD*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(n = 52)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Severe PGD*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(n = 8)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p†</w:t>
            </w:r>
          </w:p>
        </w:tc>
      </w:tr>
      <w:tr>
        <w:trPr>
          <w:trHeight w:val="144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demographics_age_tpx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56.2 [47–61.2]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59.1 [52–62.6]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56.6 [48.3–61.3]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0.367</w:t>
            </w:r>
          </w:p>
        </w:tc>
      </w:tr>
      <w:tr>
        <w:trPr>
          <w:trHeight w:val="14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Demographics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14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</w:t>
            </w:r>
          </w:p>
        </w:tc>
      </w:tr>
      <w:tr>
        <w:trPr>
          <w:trHeight w:val="14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Demographics 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14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</w:t>
            </w:r>
          </w:p>
        </w:tc>
      </w:tr>
      <w:tr>
        <w:trPr>
          <w:trHeight w:val="14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demographics_BMI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26.1 ± 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29.3 ± 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26.5 ± 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</w:tr>
      <w:tr>
        <w:trPr>
          <w:trHeight w:val="14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comorbidities_smoking_hx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0.249</w:t>
            </w:r>
          </w:p>
        </w:tc>
      </w:tr>
      <w:tr>
        <w:trPr>
          <w:trHeight w:val="14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comorbidities_DM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0.449</w:t>
            </w:r>
          </w:p>
        </w:tc>
      </w:tr>
      <w:tr>
        <w:trPr>
          <w:trHeight w:val="14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comorbidities_prior_cardiac_surg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0.702</w:t>
            </w:r>
          </w:p>
        </w:tc>
      </w:tr>
      <w:tr>
        <w:trPr>
          <w:trHeight w:val="14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Recipient NICM ICM Cong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14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14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Congenital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preop_temp_MCS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0.702</w:t>
            </w:r>
          </w:p>
        </w:tc>
      </w:tr>
      <w:tr>
        <w:trPr>
          <w:trHeight w:val="14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preop_IABP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14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preop_imeplla5.5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0.275</w:t>
            </w:r>
          </w:p>
        </w:tc>
      </w:tr>
      <w:tr>
        <w:trPr>
          <w:trHeight w:val="14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preop_VA_ECMO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0.354</w:t>
            </w:r>
          </w:p>
        </w:tc>
      </w:tr>
      <w:tr>
        <w:trPr>
          <w:trHeight w:val="14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preop_LVAD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</w:t>
            </w:r>
          </w:p>
        </w:tc>
      </w:tr>
      <w:tr>
        <w:trPr>
          <w:trHeight w:val="14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recipient_UNOS_status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[2–2]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[2–4]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[2–2]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0.160</w:t>
            </w:r>
          </w:p>
        </w:tc>
      </w:tr>
      <w:tr>
        <w:trPr>
          <w:trHeight w:val="14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preop_PVR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 [1.4–2.9]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 [2–2.5]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 [1.4–2.8]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</w:t>
            </w:r>
          </w:p>
        </w:tc>
      </w:tr>
      <w:tr>
        <w:trPr>
          <w:trHeight w:val="14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rx_preop_amiodarone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</w:t>
            </w:r>
          </w:p>
        </w:tc>
      </w:tr>
      <w:tr>
        <w:trPr>
          <w:trHeight w:val="14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rx_preop_ASA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0.698</w:t>
            </w:r>
          </w:p>
        </w:tc>
      </w:tr>
      <w:tr>
        <w:trPr>
          <w:trHeight w:val="14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rx_preop_inotrope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0.422</w:t>
            </w:r>
          </w:p>
        </w:tc>
      </w:tr>
      <w:tr>
        <w:trPr>
          <w:trHeight w:val="14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preop_labs_WBC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 [6.2–9.3]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9.1 [8.4–11]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7.6 [6.3–9.4]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</w:t>
            </w:r>
          </w:p>
        </w:tc>
      </w:tr>
      <w:tr>
        <w:trPr>
          <w:trHeight w:val="14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preop_labs_Hgb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10.6 ± 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 ± 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 ± 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0.589</w:t>
            </w:r>
          </w:p>
        </w:tc>
      </w:tr>
      <w:tr>
        <w:trPr>
          <w:trHeight w:val="14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preop_labs_Plt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183.5 [158–230.2]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[153.5–207]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182.5 [155–228]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0.486</w:t>
            </w:r>
          </w:p>
        </w:tc>
      </w:tr>
      <w:tr>
        <w:trPr>
          <w:trHeight w:val="14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preop_labs_sodium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133.3 ± 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132.8 ± 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133.2 ± 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0.705</w:t>
            </w:r>
          </w:p>
        </w:tc>
      </w:tr>
      <w:tr>
        <w:trPr>
          <w:trHeight w:val="14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preop_labs_BUN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22.5 [19–33]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23.5 [20–31.8]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22.5 [19.8–33]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0.819</w:t>
            </w:r>
          </w:p>
        </w:tc>
      </w:tr>
      <w:tr>
        <w:trPr>
          <w:trHeight w:val="14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preop_labs_creatinine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 [1–1.7]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 [1–1.8]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 [1–1.7]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0.965</w:t>
            </w:r>
          </w:p>
        </w:tc>
      </w:tr>
      <w:tr>
        <w:trPr>
          <w:trHeight w:val="14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preop_labs_GFR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[44.8–79.2]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56.5 [47–76.8]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[44.8–79.2]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</w:t>
            </w:r>
          </w:p>
        </w:tc>
      </w:tr>
      <w:tr>
        <w:trPr>
          <w:trHeight w:val="14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preop_labs_AST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22.5 [19–33]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33.5 [29–40.8]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[19–34.8]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0.063</w:t>
            </w:r>
          </w:p>
        </w:tc>
      </w:tr>
      <w:tr>
        <w:trPr>
          <w:trHeight w:val="14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preop_labs_ALT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20.5 [13.2–30.5]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32.5 [21.2–50.2]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[14.2–37.2]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</w:tr>
      <w:tr>
        <w:trPr>
          <w:trHeight w:val="14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preop_labs_alkphos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[63–88.8]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68.5 [53–115.5]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74.5 [61.5–89.8]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0.718</w:t>
            </w:r>
          </w:p>
        </w:tc>
      </w:tr>
      <w:tr>
        <w:trPr>
          <w:trHeight w:val="144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preop_labs_bilirubin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 [0.4–1.2]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 [0.5–0.9]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 [0.4–1.1]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0.577</w:t>
            </w:r>
          </w:p>
        </w:tc>
      </w:tr>
      <w:tr>
        <w:trPr>
          <w:trHeight w:val="144" w:hRule="auto"/>
        </w:trPr>
        body39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preop_labs_albumin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 [3.4–4.2]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[3.4–4.2]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 [3.4–4.2]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0.901</w:t>
            </w:r>
          </w:p>
        </w:tc>
      </w:tr>
      <w:tr>
        <w:trPr>
          <w:trHeight w:val="1152" w:hRule="auto"/>
        </w:trPr>
        body40
        <w:tc>
          <w:tcPr>
            <w:gridSpan w:val="5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Statistical Methods: For continuous variables, normality was assessed using the Shapiro–Wilk test (when enabled). Normally distributed variables were summarized as mean ± SD and compared using Welch's t-test for two-group comparisons or one-way ANOVA for three-group comparisons. Non-normally distributed or user-specified ordinal variables were summarized as median [IQR] and compared using the Wilcoxon rank-sum test (two groups) or Kruskal–Wallis test (three groups). Categorical variables were summarized as n (%) and compared using Chi-squared tests or Fisher's exact tests when expected counts were &lt;5. For binary categorical variables, odds ratios with 95% confidence intervals were computed using Fisher's exact or Wald methods, as appropriate. Approximate p-values were used for non-parametric tests with tied data.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*- All values are presented as mean ± SD for normally distributed continuous variables, median [IQR] for non-normally distributed continuous or ordinal variables, and n (%) for categorical variables.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†- Welch's t-test was used to compute p-values for normally distributed continuous variables. Wilcoxon Rank Sum test was used to compute p-values for non-normally distributed continuous or ordinal variables. Fisher's exact or chi-squared test was used to compute p-values for categorical variables, as appropriate. p-values are bolded for p ≤ 0.05.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2025-12-30T14:09:21Z</dcterms:modified>
  <cp:category/>
</cp:coreProperties>
</file>