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[37–43]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donor_sex_mismatch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0.328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donor_PHM_calc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197 ± 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0.676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[59–65]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0.974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donor_drug_use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donor_PHS_risk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DBD 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0.414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Head Trauma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0.764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Drug Overdose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Cardiovascular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Asphyxiation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Anoxia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2025-11-19T12:41:56Z</dcterms:modified>
  <cp:category/>
</cp:coreProperties>
</file>