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[122–279]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[141–339]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[122–281]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[210–285]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[177–233]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[7–17]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[30–59]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[35–89]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</w:tr>
      <w:tr>
        <w:trPr>
          <w:trHeight w:val="144" w:hRule="auto"/>
        </w:trPr>
        body14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survival_90: 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(98%)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</w:tr>
      <w:tr>
        <w:trPr>
          <w:trHeight w:val="1152" w:hRule="auto"/>
        </w:trPr>
        body15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2025-11-03T20:51:29Z</dcterms:modified>
  <cp:category/>
</cp:coreProperties>
</file>