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No Severe PGD (n = 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Severe PGD (n = 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56.2 [46.2–61.1]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59.1 [47.7–62.6]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56.6 [46.2–61.3]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demographics_race: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demographics_sex: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24.9 [22.2–30.3]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28.9 [26.8–31]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26.3 [22.8–30.6]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Wilcoxon rank-sum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rx_preop_ASA: 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20 (37%)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 (25%)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22 (35%)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0.700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Fisher exact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Statistical Methods: For continuous variables, normality was assessed using the Shapiro-Wilk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2-group comparisons, normally distributed variables were compared using Welch’s t-test; non-normal distributions were compared using the Wilcoxon rank-sum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For 3-group comparisons, normally distributed variables were compared using one-way ANOVA; non-normal or ordinal variables specified by the user were compared using the Kruskal-Wallis test.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Categorical variables were compared using Chi-squared tests or Fisher’s exact tests if expected counts were &lt;5.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Ordinal variables were summarized as medians [IQR] and compared using appropriate non-parametric tests. </w:t>
      </w:r>
      <w:r>
        <w:rPr>
          <w:rFonts w:ascii="Arial" w:hAnsi="Arial" w:eastAsia="Arial" w:cs="Arial"/>
          <w:i w:val="true"/>
          <w:b w:val="false"/>
          <w:u w:val="none"/>
          <w:strike w:val="false"/>
          <w:sz w:val="16"/>
          <w:szCs w:val="16"/>
          <w:color w:val="000000"/>
        </w:rPr>
        <w:t xml:space="preserve">Note: Approximate p-values were used for non-parametric tests with tied data.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2025-10-03T00:02:28Z</dcterms:modified>
  <cp:category/>
</cp:coreProperties>
</file>