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No/Mild/Mod. PGD (n = 54)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Severe PGD (n = 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demographics_age_tpx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56.2 [46.2–61.1]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59.1 [47.7–62.6]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56.6 [46.2–61.3]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demographics_race: 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demographics_race: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31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33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demographics_race: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demographics_race: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demographics_sex: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42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24.9 [22.2–30.3]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28.9 [26.8–31]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26.3 [22.8–30.6]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comorbidities_smoking_hx: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comorbidities_DM: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comorbidities_prior_cardiac_surg: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preop_temp_MCS: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33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38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preop_IABP: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preop_imeplla5.5: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32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36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preop_LVAD: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rx_preop_inotrope: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41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rx_preop_amiodarone: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preop_RADIAL_calc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rx_preop_ASA: 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20 (37%)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22 (35%)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Statistical Methods: For continuous variables, normality was assessed using the Shapiro-Wilk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2-group comparisons, normally distributed variables were compared using Welch’s t-test; non-normal distributions were compared using the Wilcoxon rank-sum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3-group comparisons, normally distributed variables were compared using one-way ANOVA; non-normal or ordinal variables specified by the user were compared using the Kruskal-Wallis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Categorical variables were compared using Chi-squared tests or Fisher’s exact tests if expected counts were &lt;5.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Ordinal variables were summarized as medians [IQR] and compared using appropriate non-parametric tests.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Note: Approximate p-values were used for non-parametric tests with tied data.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2025-10-01T19:07:36Z</dcterms:modified>
  <cp:category/>
</cp:coreProperties>
</file>