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576" w:hRule="auto"/>
          <w:tblHeader/>
        </w:trPr>
        header 1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Variable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   Stratified Variable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No 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54)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Severe PGD*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(n = 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Total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DCDC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6"/>
                <w:szCs w:val="16"/>
                <w:color w:val="000000"/>
              </w:rPr>
              <w:t xml:space="preserve">p†</w:t>
            </w:r>
          </w:p>
        </w:tc>
      </w:tr>
      <w:tr>
        <w:trPr>
          <w:trHeight w:val="144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demographics_age_tpx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56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59 [48–63]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57 [46–61]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0.508</w:t>
            </w:r>
          </w:p>
        </w:tc>
      </w:tr>
      <w:tr>
        <w:trPr>
          <w:trHeight w:val="14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42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Demographics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0.204</w:t>
            </w:r>
          </w:p>
        </w:tc>
      </w:tr>
      <w:tr>
        <w:trPr>
          <w:trHeight w:val="14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demographics_BMI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29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26 ±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0.028</w:t>
            </w:r>
          </w:p>
        </w:tc>
      </w:tr>
      <w:tr>
        <w:trPr>
          <w:trHeight w:val="14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comorbidities_smoking_hx: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0.681</w:t>
            </w:r>
          </w:p>
        </w:tc>
      </w:tr>
      <w:tr>
        <w:trPr>
          <w:trHeight w:val="14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comorbidities_DM: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0.438</w:t>
            </w:r>
          </w:p>
        </w:tc>
      </w:tr>
      <w:tr>
        <w:trPr>
          <w:trHeight w:val="14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comorbidities_prior_cardiac_surg: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single"/>
                <w:strike w:val="false"/>
                <w:sz w:val="18"/>
                <w:szCs w:val="18"/>
                <w:color w:val="000000"/>
              </w:rPr>
              <w:t xml:space="preserve">Recipient NICM ICM Cong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14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NICM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40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 (75%)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ICM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40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Congenital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-</w:t>
            </w:r>
          </w:p>
        </w:tc>
      </w:tr>
      <w:tr>
        <w:trPr>
          <w:trHeight w:val="14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preop_temp_MCS: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5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preop_IABP: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&gt;0.999</w:t>
            </w:r>
          </w:p>
        </w:tc>
      </w:tr>
      <w:tr>
        <w:trPr>
          <w:trHeight w:val="14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preop_imeplla5.5: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36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0.710</w:t>
            </w:r>
          </w:p>
        </w:tc>
      </w:tr>
      <w:tr>
        <w:trPr>
          <w:trHeight w:val="14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preop_VA_ECMO: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0.077</w:t>
            </w:r>
          </w:p>
        </w:tc>
      </w:tr>
      <w:tr>
        <w:trPr>
          <w:trHeight w:val="14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preop_LVAD: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0.645</w:t>
            </w:r>
          </w:p>
        </w:tc>
      </w:tr>
      <w:tr>
        <w:trPr>
          <w:trHeight w:val="14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recipient_UNOS_status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0.416</w:t>
            </w:r>
          </w:p>
        </w:tc>
      </w:tr>
      <w:tr>
        <w:trPr>
          <w:trHeight w:val="14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preop_PVR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[2–3]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 [1–3]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0.787</w:t>
            </w:r>
          </w:p>
        </w:tc>
      </w:tr>
      <w:tr>
        <w:trPr>
          <w:trHeight w:val="14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rx_preop_inotrope: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37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41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0.426</w:t>
            </w:r>
          </w:p>
        </w:tc>
      </w:tr>
      <w:tr>
        <w:trPr>
          <w:trHeight w:val="14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rx_preop_amiodarone: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0.705</w:t>
            </w:r>
          </w:p>
        </w:tc>
      </w:tr>
      <w:tr>
        <w:trPr>
          <w:trHeight w:val="14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preop_RADIAL_calc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 [2–4]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0.750</w:t>
            </w:r>
          </w:p>
        </w:tc>
      </w:tr>
      <w:tr>
        <w:trPr>
          <w:trHeight w:val="14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preop_labs_albumin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 [3–4]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0.982</w:t>
            </w:r>
          </w:p>
        </w:tc>
      </w:tr>
      <w:tr>
        <w:trPr>
          <w:trHeight w:val="14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preop_labs_alkphos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78 [63–89]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[53–79]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73 [62–89]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0.352</w:t>
            </w:r>
          </w:p>
        </w:tc>
      </w:tr>
      <w:tr>
        <w:trPr>
          <w:trHeight w:val="14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20 [13–30]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45 [23–50]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[14–40]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0.082</w:t>
            </w:r>
          </w:p>
        </w:tc>
      </w:tr>
      <w:tr>
        <w:trPr>
          <w:trHeight w:val="14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22 [19–33]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34 [29–42]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25 [19–35]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trike w:val="false"/>
                <w:sz w:val="18"/>
                <w:szCs w:val="18"/>
                <w:color w:val="000000"/>
              </w:rPr>
              <w:t xml:space="preserve">0.047</w:t>
            </w:r>
          </w:p>
        </w:tc>
      </w:tr>
      <w:tr>
        <w:trPr>
          <w:trHeight w:val="14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preop_labs_bilirubin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[0–1]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0.441</w:t>
            </w:r>
          </w:p>
        </w:tc>
      </w:tr>
      <w:tr>
        <w:trPr>
          <w:trHeight w:val="14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preop_labs_creatinine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 [1–2]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0.425</w:t>
            </w:r>
          </w:p>
        </w:tc>
      </w:tr>
      <w:tr>
        <w:trPr>
          <w:trHeight w:val="14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preop_labs_GFR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61 ±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69 ± 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62 ±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0.532</w:t>
            </w:r>
          </w:p>
        </w:tc>
      </w:tr>
      <w:tr>
        <w:trPr>
          <w:trHeight w:val="14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preop_labs_Hgb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10 ±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11 ±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0.810</w:t>
            </w:r>
          </w:p>
        </w:tc>
      </w:tr>
      <w:tr>
        <w:trPr>
          <w:trHeight w:val="14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preop_labs_Plt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183 [156–228]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160 [143–207]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180 [154–227]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0.372</w:t>
            </w:r>
          </w:p>
        </w:tc>
      </w:tr>
      <w:tr>
        <w:trPr>
          <w:trHeight w:val="14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preop_labs_sodium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133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134 ±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0.923</w:t>
            </w:r>
          </w:p>
        </w:tc>
      </w:tr>
      <w:tr>
        <w:trPr>
          <w:trHeight w:val="144" w:hRule="auto"/>
        </w:trPr>
        body38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24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preop_labs_WBC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9 [8–10]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7 [6–9]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12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trike w:val="false"/>
                <w:sz w:val="18"/>
                <w:szCs w:val="18"/>
                <w:color w:val="000000"/>
              </w:rPr>
              <w:t xml:space="preserve">0.133</w:t>
            </w:r>
          </w:p>
        </w:tc>
      </w:tr>
      <w:tr>
        <w:trPr>
          <w:trHeight w:val="1152" w:hRule="auto"/>
        </w:trPr>
        body39
        <w:tc>
          <w:tcPr>
            <w:gridSpan w:val="5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Statistical Methods: For continuous variables, normality was assessed using the Shapiro–Wilk test (when enabled). Normally distributed variables were summarized as mean ± SD and compared using Welch's t-test for two-group comparisons or one-way ANOVA for three-group comparisons. Non-normally distributed or user-specified ordinal variables were summarized as median [IQR] and compared using the Wilcoxon rank-sum test (two groups) or Kruskal–Wallis test (three groups). Categorical variables were summarized as n (%) and compared using Chi-squared tests or Fisher's exact tests when expected counts were &lt;5. For binary categorical variables, odds ratios with 95% confidence intervals were computed using Fisher's exact or Wald methods, as appropriate. Approximate p-values were used for non-parametric tests with tied data.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*- All values are presented as mean ± SD for normally distributed continuous variables, median [IQR] for non-normally distributed continuous or ordinal variables, and n (%) for categorical variables.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br/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trike w:val="false"/>
                <w:sz w:val="12"/>
                <w:szCs w:val="12"/>
                <w:color w:val="000000"/>
              </w:rPr>
              <w:t xml:space="preserve">†- Welch's t-test was used to compute p-values for normally distributed continuous variables. Wilcoxon Rank Sum test was used to compute p-values for non-normally distributed continuous or ordinal variables. Fisher's exact or chi-squared test was used to compute p-values for categorical variables, as appropriate. p-values are bolded for p ≤ 0.05.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JoshsMacbook2015</cp:lastModifiedBy>
  <cp:revision>9</cp:revision>
  <dcterms:created xsi:type="dcterms:W3CDTF">2017-02-28T11:18:00Z</dcterms:created>
  <dcterms:modified xsi:type="dcterms:W3CDTF">2025-10-31T10:27:11Z</dcterms:modified>
  <cp:category/>
</cp:coreProperties>
</file>