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No Severe PGD (n = 54)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Severe PGD (n = 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33.5 [30–40.8]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39.5 [37.2–43]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34.5 [30–41]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donor_sex: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42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49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donor_sex_mismatch: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donor_PHM_calc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193.5 [173.7–213.3]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193.2 [185.5–205.9]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193.5 [175.8–213.3]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62.5 [58.8–65]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donor_drug_use: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donor_PHS_risk: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donor_DBD_DCD: DBD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41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donor_COD_simplified: Anoxia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 (2%)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 (2%)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donor_COD_simplified: Asphyxiation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donor_COD_simplified: 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donor_COD_simplified: 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donor_COD_simplified: Drug Overdose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donor_COD_simplified: Head Trauma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 (33%)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21 (34%)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Statistical Methods: For continuous variables, normality was assessed using the Shapiro-Wilk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For 2-group comparisons, normally distributed variables were compared using Welch’s t-test; non-normal distributions were compared using the Wilcoxon rank-sum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For 3-group comparisons, normally distributed variables were compared using one-way ANOVA; non-normal or ordinal variables specified by the user were compared using the Kruskal-Wallis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Categorical variables were compared using Chi-squared tests or Fisher’s exact tests if expected counts were &lt;5.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Ordinal variables were summarized as medians [IQR] and compared using appropriate non-parametric tests.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Note: Approximate p-values were used for non-parametric tests with tied data.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2025-10-01T20:52:17Z</dcterms:modified>
  <cp:category/>
</cp:coreProperties>
</file>