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No/Mild/Mod.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33.5 [30–40.8]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39.5 [37.2–43]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34.5 [30–41]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193.5 [173.7–213.3]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193.2 [185.5–205.9]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193.5 [175.8–213.3]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62.5 [58.8–65]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donor_DBD_DCD: 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Anoxia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Head Trauma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2025-10-01T19:07:36Z</dcterms:modified>
  <cp:category/>
</cp:coreProperties>
</file>