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 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available observations were treated as non-normally distributed (conservative fail-safe); variables with absolute skewness exceeding 2.0 were treated as non-normally distributed regardless of sample size, as extreme skewness indicates a distribution for which parametric assumptions are inappropriate irrespective of the Central Limit Theorem; variables with 30 or more non-missing observations were treated as normally distributed on the basis of the Central Limit Theorem; for all remaining variables, the Shapiro-Wilk test was applied and p &gt; 0.05 was used as the threshold for normality.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 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where any comparison group had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Normally distributed continuous variables were compared using Welch's one-way ANOVA; non-normally distributed variables were compared using the Kruskal-Wallis test. Omnibus P values are reported; pairwise post-hoc comparisons were not performed. Categorical variables were compared using Chi-squared tests, or Fisher's exact tests when any expected cell count was less than 5 (Cochran criterion).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3 Statistical Methods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where any comparison group had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Normally distributed continuous variables were compared using Welch's one-way ANOVA; non-normally distributed variables were compared using the Kruskal-Wallis test. Omnibus P values are reported. For variables with a significant omnibus P value (p &lt; 0.05), pairwise post-hoc comparisons were performed: normally distributed variables were compared using the Games-Howell test; non-normally distributed and ordinal variables were compared using Dunn’s test with Holm correction for multiple comparisons. Results are presented using compact letter display (CLD) notation — superscript letters appended to cell values — whereby groups sharing a superscript letter are not significantly different from each other. Categorical variables were not included in post-hoc comparisons. Categorical variables were compared using Chi-squared tests, or Fisher's exact tests when any expected cell count was less than 5 (Cochran criterion). Statistical significance was defined as p &lt; 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18"/>
          <w:szCs w:val="18"/>
          <w:color w:val="555555"/>
        </w:rPr>
        <w:t xml:space="preserve">Generated by TernTables v1.6.3. Each section reflects the specific configuration of the corresponding table(s). Sections with identical configurations are consolidated to avoid redundancy.</w:t>
      </w:r>
    </w:p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Times New Roman" w:hAnsi="Times New Roman" w:eastAsia="Times New Roman" w:cs="Times New Roman"/>
        <w:i w:val="true"/>
        <w:b w:val="true"/>
        <w:u w:val="none"/>
        <w:strike w:val="false"/>
        <w:sz w:val="14"/>
        <w:szCs w:val="14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2026-03-06T23:40:48Z</dcterms:modified>
  <cp:category/>
</cp:coreProperties>
</file>