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000000"/>
        </w:rPr>
        <w:t xml:space="preserve">Table 1. Descriptive statistics of the cohort</w:t>
      </w:r>
    </w:p>
    <w:p>
      <w:pPr>
        <w:pStyle w:val="Normal"/>
      </w:pPr>
      <w:r>
        <w:t xml:space="preserv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Continuous variables are presented as mean ± SD if normally distributed or median [IQR] if non-normally distributed or ordinal. Categorical variables are presented as n (%). Distribution of each continuous variable was evaluated using a sequential four-gate algorithm: variables with fewer than three available observations were treated as non-normally distributed (conservative fail-safe); variables with absolute skewness exceeding 2.0 were treated as non-normally distributed regardless of sample size, as extreme skewness indicates a distribution for which parametric assumptions are inappropriate irrespective of the Central Limit Theorem; variables with 30 or more non-missing observations were treated as normally distributed on the basis of the Central Limit Theorem; for all remaining variables, the Shapiro-Wilk test was applied and p &gt; 0.05 was used as the threshold for normality. Statistical significance was defined as p &lt; 0.05.</w:t>
      </w:r>
    </w:p>
    <w:p>
      <w:pPr>
        <w:pStyle w:val="Normal"/>
      </w:pPr>
      <w:r>
        <w:t xml:space="preserv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000000"/>
        </w:rPr>
        <w:t xml:space="preserve">Table 2. Demographic, clinical, and clinical course data in high-grade penetrating kidney injury patients stratified by index management strategy. All values are displayed as n (%), median [IQR], or mean ± SD as appropriate. Nonoperative management included interventional radiology and serial monitoring/conservative management. Calculations for Renal Salvage, AKI, ventilator days, ICU LOS, hospital LOS, and return to ED excluded patients who did not survive the index hospitalization. p-values &lt; 0.05 are printed in bold. *Defined as no further procedures or death following the index management strategy; however, nephrectomy at index procedure was not counted as successful index management / Table 3. Demographic, clinical, and outcomes data in high-grade penetrating kidney injury patients stratified by AAST injury grade. All values are displayed as n (%), median [IQR], or mean ± SD as appropriate. Calculations for Renal Salvage, AKI, ventilator days, ICU LOS, hospital LOS, and return to ED excluded patients who did not survive the index hospitalization. p-values &lt; 0.05 are printed in bold</w:t>
      </w:r>
    </w:p>
    <w:p>
      <w:pPr>
        <w:pStyle w:val="Normal"/>
      </w:pPr>
      <w:r>
        <w:t xml:space="preserv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Continuous variables are presented as mean ± SD if normally distributed or median [IQR] if non-normally distributed or ordinal. Categorical variables are presented as n (%). Distribution of each continuous variable was evaluated using a sequential four-gate algorithm: variables with fewer than three observations in any comparison group were treated as non-normally distributed (conservative fail-safe); variables where any comparison group had absolute skewness exceeding 2.0 were treated as non-normally distributed regardless of sample size, as extreme skewness indicates a distribution for which parametric assumptions are inappropriate irrespective of the Central Limit Theorem; variables where all comparison groups comprised 30 or more observations were treated as normally distributed on the basis of the Central Limit Theorem; for all remaining variables, the Shapiro-Wilk test was applied within each comparison group, and p &gt; 0.05 in all groups was used as the threshold for normality. Normally distributed continuous variables were compared using Welch's one-way ANOVA; non-normally distributed variables were compared using the Kruskal-Wallis test. Omnibus P values are reported; pairwise post-hoc comparisons were not performed. Categorical variables were compared using Chi-squared tests, or Fisher's exact tests when any expected cell count was less than 5 (Cochran criterion). Statistical significance was defined as p &lt; 0.05.</w:t>
      </w:r>
    </w:p>
    <w:p>
      <w:pPr>
        <w:pStyle w:val="Normal"/>
      </w:pPr>
      <w:r>
        <w:t xml:space="preserv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8"/>
          <w:szCs w:val="18"/>
          <w:color w:val="555555"/>
        </w:rPr>
        <w:t xml:space="preserve">Generated by TernTables v1.6.3. Each section reflects the specific configuration of the corresponding table(s). Sections with identical configurations are consolidated to avoid redundancy.</w:t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JoshsMacbook2015</cp:lastModifiedBy>
  <cp:revision>9</cp:revision>
  <dcterms:created xsi:type="dcterms:W3CDTF">2017-02-28T11:18:00Z</dcterms:created>
  <dcterms:modified xsi:type="dcterms:W3CDTF">2026-03-05T14:36:34Z</dcterms:modified>
  <cp:category/>
</cp:coreProperties>
</file>