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3. Demographic, clinical, and outcomes data in high-grade penetrating kidney injury patients stratified by AAST injury grade.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All values are displayed as n (%), median [IQR], or mean ± SD as appropriate. Calculations for Renal Salvage, AKI, ventilator days, ICU LOS, hospital LOS, and return to ED excluded patients who did not survive the index hospitalization. p-values &lt; 0.05 are printed in bold.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5"/>
        <w:gridCol w:w="1371"/>
        <w:gridCol w:w="1440"/>
        <w:gridCol w:w="1372"/>
        <w:gridCol w:w="1014"/>
      </w:tblGrid>
      <w:tr>
        <w:trPr>
          <w:trHeight w:val="713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Grade III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51)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Grade IV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54)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Grade V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69" w:hRule="exact"/>
        </w:trPr>
        <w:tc>
          <w:tcPr>
            <w:gridSpan w:val="5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Demographics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27.5 ± 9.2ᵇ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 ± 11.4ᵃᵇ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33.4 ± 12.8ᵃ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0.562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 ± 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 ±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 ±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</w:t>
            </w:r>
          </w:p>
        </w:tc>
      </w:tr>
      <w:tr>
        <w:trPr>
          <w:trHeight w:val="369" w:hRule="exact"/>
        </w:trPr>
        <w:tc>
          <w:tcPr>
            <w:gridSpan w:val="5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Injury Features and Vital Signs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GCS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[14–15]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[14–15]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[14–15]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 ± 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 ± 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86.7 ± 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118.8 ± 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115.7 ± 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115.1 ± 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70.5 ± 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 ±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72.6 ± 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103.9 ± 26.5ᵃ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91.5 ± 21.5ᵇ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97.3 ± 31.4ᵃᵇ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 ± 11ᵇ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 ± 9.8ᵇ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 ± 9.4ᵃ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3E-5</w:t>
            </w:r>
          </w:p>
        </w:tc>
      </w:tr>
      <w:tr>
        <w:trPr>
          <w:trHeight w:val="369" w:hRule="exact"/>
        </w:trPr>
        <w:tc>
          <w:tcPr>
            <w:gridSpan w:val="5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Lab Values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Initial Lactate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 ± 2.6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 ± 2.5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± 3.9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Max Lactate (24 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[3–5.5]ᵇ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 [2.9–5.9]ᵃᵇ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 [3.6–7.6]ᵃ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Initial Base Deficit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-3.3 ± 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-4.2 ± 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-5.4 ± 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</w:t>
            </w:r>
          </w:p>
        </w:tc>
      </w:tr>
      <w:tr>
        <w:trPr>
          <w:trHeight w:val="369" w:hRule="exact"/>
        </w:trPr>
        <w:tc>
          <w:tcPr>
            <w:gridSpan w:val="5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Blood Products (24 h)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MTP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(28%)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(55%)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[0–3]ᵇ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[0–3]ᵇ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[2.5–11.5]ᵃ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1E-6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FFP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[0–3]ᵇ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[0–3]ᵇ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[1–10]ᵃ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2E-5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Platelets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[0–0]ᵃ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[0–0]ᵃ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[0–1]ᵇ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8E-5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Cryoprecipitate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[0–0]ᵃ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[0–0]ᵃᵇ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[0–0]ᵇ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Whole Blood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[0–4]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</w:tr>
      <w:tr>
        <w:trPr>
          <w:trHeight w:val="369" w:hRule="exact"/>
        </w:trPr>
        <w:tc>
          <w:tcPr>
            <w:gridSpan w:val="5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Index Management Details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Index Management Success*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(82%)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(77%)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(87%)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Index Management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Conservative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Radiology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Operative Management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000000"/>
              </w:rPr>
              <w:t xml:space="preserve">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<w:tc>
          <w:tcPr>
            <w:gridSpan w:val="5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Clinical Course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(96%)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(94%)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(80%)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Renal Salvage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2E-17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3E-8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 [1–1.5]ᵇ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 [1.1–1.7]ᵇ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[1.6–2.2]ᵃ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8E-9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Ventilator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[1.2–4.8]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ICU LOS (d)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[3–6]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[3–7]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[3.5–8]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0.368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Hospital LOS (d)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[7–19]ᵇ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[6.5–15.5]ᵇ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[11–25]ᵃ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270" w:hRule="exact"/>
        </w:trPr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Return To ED (30 d)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(17%)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(30%)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(21%)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double" w:sz="4" w:space="0" w:color="000000"/>
              <w:top w:val="doub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Abbreviations: AAST, American Association for the Surgery of Trauma; GCS, Glasgow Coma Scale; MAP, mean arterial pressure; SBP, systolic blood pressure; DBP, diastolic blood pressure; HR, heart rate; ISS, Injury Severity Score; MTP, massive transfusion protocol; RBC, red blood cells; FFP, fresh frozen plasma; TXA, tranexamic acid; AKI, acute kidney injury; Cr, creatinine; ICU, intensive care unit; LOS, length of stay; ED, emergency department.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Superscript letters indicate pairwise post-hoc comparisons (Age, HR, ISS, Max Lactate (24 h), RBC, FFP, Platelets, Cryoprecipitate, Highest Cr, Hospital LOS (d); α = 0.05); groups sharing a letter are not significantly different.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* Defined as no further kidney-directed procedures or death following the index management strategy; however, nephrectomy at index procedure was not counted as successful index management.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† Refers to index management strategy.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6"/>
        <w:szCs w:val="16"/>
        <w:color w:val="000000"/>
      </w:rPr>
      <w:t xml:space="preserve">Created with TernTables v1.6.3. Please cite: Preston JD, Abadiotakis H, Tang A, Aslam MV,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2026-03-05T22:56:44Z</dcterms:modified>
  <cp:category/>
</cp:coreProperties>
</file>