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4. Index management success and renal preservation stratified by AAST grade and index management strategy.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5"/>
        <w:gridCol w:w="1635"/>
        <w:gridCol w:w="1435"/>
        <w:gridCol w:w="1435"/>
        <w:gridCol w:w="1435"/>
      </w:tblGrid>
      <w:tr>
        <w:trPr>
          <w:trHeight w:val="711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Grades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Grade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Grade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Grade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Index Management Success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Conservative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34/41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21/23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12/16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1/2 (50%)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Radiology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12/16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5/6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3/5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4/5 (80%)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Operative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69/84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14/20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26/32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29/32 (90.6%)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Management Strategies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115/141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40/49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41/53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34/39 (87.2%)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Renal Preservation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Conservative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41/41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23/23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16/16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2/2 (100%)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Radiology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15/16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6/6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5/5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4/5 (80%)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Operative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41/84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20/20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21/32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0/32 (0%)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Management Strategies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97/141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49/49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42/53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6/39 (15.4%)</w:t>
            </w:r>
          </w:p>
        </w:tc>
      </w:tr>
    </w:tbl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true"/>
        <w:u w:val="none"/>
        <w:strike w:val="false"/>
        <w:sz w:val="16"/>
        <w:szCs w:val="16"/>
        <w:color w:val="000000"/>
      </w:rPr>
      <w:t xml:space="preserve">Created with TernTables v1.6.3. Please cite: Preston JD, Abadiotakis H, Tang A, Aslam MV, Rust CJ, Chan JL. TernTables: Publication-ready summary tables and statistical testing for clinical research. R package version 1.6.3,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2026-03-06T00:23:51Z</dcterms:modified>
  <cp:category/>
</cp:coreProperties>
</file>